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E133" w14:textId="77777777" w:rsidR="00425AE5" w:rsidRDefault="002619FA" w:rsidP="00425AE5">
      <w:pPr>
        <w:ind w:left="142"/>
        <w:jc w:val="center"/>
        <w:rPr>
          <w:b/>
          <w:bCs/>
          <w:sz w:val="32"/>
          <w:szCs w:val="32"/>
        </w:rPr>
      </w:pPr>
      <w:r>
        <w:rPr>
          <w:noProof/>
        </w:rPr>
        <w:drawing>
          <wp:anchor distT="0" distB="0" distL="114300" distR="114300" simplePos="0" relativeHeight="251658240" behindDoc="0" locked="0" layoutInCell="1" allowOverlap="1" wp14:anchorId="7B0F8664" wp14:editId="1DA39301">
            <wp:simplePos x="0" y="0"/>
            <wp:positionH relativeFrom="column">
              <wp:posOffset>5829300</wp:posOffset>
            </wp:positionH>
            <wp:positionV relativeFrom="paragraph">
              <wp:posOffset>-914400</wp:posOffset>
            </wp:positionV>
            <wp:extent cx="971550" cy="1638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5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4AB9" w14:textId="41A84126" w:rsidR="00AE05D7" w:rsidRDefault="00AE05D7" w:rsidP="00AE05D7">
      <w:pPr>
        <w:tabs>
          <w:tab w:val="left" w:pos="890"/>
          <w:tab w:val="left" w:pos="7522"/>
        </w:tabs>
        <w:ind w:left="142"/>
        <w:rPr>
          <w:b/>
          <w:i/>
          <w:sz w:val="20"/>
        </w:rPr>
      </w:pPr>
    </w:p>
    <w:p w14:paraId="6ED83082" w14:textId="76C9E608" w:rsidR="00914791" w:rsidRDefault="00914791" w:rsidP="00AE05D7">
      <w:pPr>
        <w:tabs>
          <w:tab w:val="left" w:pos="890"/>
          <w:tab w:val="left" w:pos="7522"/>
        </w:tabs>
        <w:ind w:left="142"/>
        <w:rPr>
          <w:b/>
          <w:i/>
          <w:sz w:val="20"/>
        </w:rPr>
      </w:pPr>
    </w:p>
    <w:p w14:paraId="3A8AB605" w14:textId="5584E0E5" w:rsidR="00914791" w:rsidRPr="00914791" w:rsidRDefault="00914791" w:rsidP="00914791">
      <w:pPr>
        <w:tabs>
          <w:tab w:val="left" w:pos="890"/>
          <w:tab w:val="left" w:pos="7522"/>
        </w:tabs>
        <w:spacing w:after="0"/>
        <w:ind w:left="142"/>
        <w:jc w:val="center"/>
        <w:rPr>
          <w:b/>
          <w:sz w:val="56"/>
        </w:rPr>
      </w:pPr>
      <w:r w:rsidRPr="00914791">
        <w:rPr>
          <w:b/>
          <w:sz w:val="56"/>
        </w:rPr>
        <w:t>ROL ANNUAL PROJECT REPORT</w:t>
      </w:r>
    </w:p>
    <w:p w14:paraId="65B48329" w14:textId="39B1B27C" w:rsidR="00914791" w:rsidRPr="00914791" w:rsidRDefault="00914791" w:rsidP="00914791">
      <w:pPr>
        <w:tabs>
          <w:tab w:val="left" w:pos="890"/>
          <w:tab w:val="left" w:pos="7522"/>
        </w:tabs>
        <w:spacing w:after="0"/>
        <w:ind w:left="142"/>
        <w:jc w:val="center"/>
        <w:rPr>
          <w:b/>
          <w:sz w:val="96"/>
        </w:rPr>
      </w:pPr>
      <w:r w:rsidRPr="00914791">
        <w:rPr>
          <w:b/>
          <w:sz w:val="96"/>
        </w:rPr>
        <w:t>2018</w:t>
      </w:r>
    </w:p>
    <w:p w14:paraId="00F32666" w14:textId="77777777" w:rsidR="00AE05D7" w:rsidRDefault="00AE05D7" w:rsidP="00AE05D7">
      <w:pPr>
        <w:tabs>
          <w:tab w:val="left" w:pos="7380"/>
        </w:tabs>
        <w:jc w:val="center"/>
        <w:rPr>
          <w:rFonts w:asciiTheme="majorHAnsi" w:hAnsiTheme="majorHAnsi"/>
          <w:b/>
          <w:color w:val="365F91" w:themeColor="accent1" w:themeShade="BF"/>
          <w:sz w:val="28"/>
          <w:szCs w:val="28"/>
        </w:rPr>
      </w:pPr>
    </w:p>
    <w:tbl>
      <w:tblPr>
        <w:tblStyle w:val="TableGrid"/>
        <w:tblW w:w="8550" w:type="dxa"/>
        <w:jc w:val="center"/>
        <w:tblLook w:val="04A0" w:firstRow="1" w:lastRow="0" w:firstColumn="1" w:lastColumn="0" w:noHBand="0" w:noVBand="1"/>
      </w:tblPr>
      <w:tblGrid>
        <w:gridCol w:w="9350"/>
      </w:tblGrid>
      <w:tr w:rsidR="00AE05D7" w14:paraId="353AD125" w14:textId="77777777" w:rsidTr="00AE05D7">
        <w:trPr>
          <w:trHeight w:val="2753"/>
          <w:jc w:val="center"/>
        </w:trPr>
        <w:tc>
          <w:tcPr>
            <w:tcW w:w="8550" w:type="dxa"/>
          </w:tcPr>
          <w:p w14:paraId="0B14BA46" w14:textId="77777777" w:rsidR="00AE05D7" w:rsidRDefault="00AE05D7" w:rsidP="00AE05D7">
            <w:pPr>
              <w:pStyle w:val="NormalWeb"/>
              <w:rPr>
                <w:color w:val="000000"/>
              </w:rPr>
            </w:pPr>
            <w:r w:rsidRPr="00935A5F">
              <w:rPr>
                <w:b/>
                <w:noProof/>
              </w:rPr>
              <w:drawing>
                <wp:anchor distT="0" distB="0" distL="114300" distR="114300" simplePos="0" relativeHeight="251658241" behindDoc="0" locked="0" layoutInCell="1" allowOverlap="1" wp14:anchorId="5FAC4EDF" wp14:editId="28B1D5B4">
                  <wp:simplePos x="0" y="0"/>
                  <wp:positionH relativeFrom="margin">
                    <wp:posOffset>-65405</wp:posOffset>
                  </wp:positionH>
                  <wp:positionV relativeFrom="margin">
                    <wp:posOffset>5079</wp:posOffset>
                  </wp:positionV>
                  <wp:extent cx="6077027" cy="2066925"/>
                  <wp:effectExtent l="0" t="0" r="0" b="0"/>
                  <wp:wrapSquare wrapText="bothSides"/>
                  <wp:docPr id="1" name="Image 1" descr="C:\Users\HP i7\AppData\Local\Microsoft\Windows\INetCache\Content.Word\IMG_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i7\AppData\Local\Microsoft\Windows\INetCache\Content.Word\IMG_21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9320" cy="2067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E05D7" w14:paraId="4FF0B067" w14:textId="77777777" w:rsidTr="00AE05D7">
        <w:trPr>
          <w:trHeight w:val="2753"/>
          <w:jc w:val="center"/>
        </w:trPr>
        <w:tc>
          <w:tcPr>
            <w:tcW w:w="8550" w:type="dxa"/>
          </w:tcPr>
          <w:p w14:paraId="2C7642E2" w14:textId="77777777" w:rsidR="00AE05D7" w:rsidRPr="00935A5F" w:rsidRDefault="00AE05D7" w:rsidP="00AE05D7">
            <w:pPr>
              <w:pStyle w:val="NormalWeb"/>
              <w:ind w:left="-204" w:firstLine="90"/>
              <w:rPr>
                <w:b/>
                <w:noProof/>
              </w:rPr>
            </w:pPr>
            <w:r>
              <w:rPr>
                <w:b/>
                <w:noProof/>
              </w:rPr>
              <w:drawing>
                <wp:inline distT="0" distB="0" distL="0" distR="0" wp14:anchorId="62EA2137" wp14:editId="43CE66F8">
                  <wp:extent cx="5972175" cy="182218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loo Building Refurbishment-3.jpg"/>
                          <pic:cNvPicPr/>
                        </pic:nvPicPr>
                        <pic:blipFill>
                          <a:blip r:embed="rId10"/>
                          <a:stretch>
                            <a:fillRect/>
                          </a:stretch>
                        </pic:blipFill>
                        <pic:spPr>
                          <a:xfrm>
                            <a:off x="0" y="0"/>
                            <a:ext cx="6104586" cy="1862588"/>
                          </a:xfrm>
                          <a:prstGeom prst="rect">
                            <a:avLst/>
                          </a:prstGeom>
                        </pic:spPr>
                      </pic:pic>
                    </a:graphicData>
                  </a:graphic>
                </wp:inline>
              </w:drawing>
            </w:r>
          </w:p>
        </w:tc>
      </w:tr>
    </w:tbl>
    <w:p w14:paraId="3C998C69" w14:textId="2B84F9B6" w:rsidR="00AE05D7" w:rsidRPr="007270D7" w:rsidRDefault="002A3F27" w:rsidP="00AE05D7">
      <w:pPr>
        <w:tabs>
          <w:tab w:val="left" w:pos="890"/>
          <w:tab w:val="left" w:pos="7522"/>
        </w:tabs>
        <w:ind w:left="142"/>
        <w:rPr>
          <w:b/>
          <w:i/>
          <w:sz w:val="20"/>
        </w:rPr>
      </w:pPr>
      <w:r>
        <w:rPr>
          <w:b/>
          <w:i/>
          <w:sz w:val="20"/>
        </w:rPr>
        <w:t xml:space="preserve">Waterloo – Remand Correctional Facility rehabilitation works 2018 – assisting the Correctional Service in classifying inmates and decongesting the Freetown Male Facility  </w:t>
      </w:r>
    </w:p>
    <w:p w14:paraId="623A58D8" w14:textId="77777777" w:rsidR="00526A05" w:rsidRPr="005B1408" w:rsidRDefault="00526A05" w:rsidP="007E53E9">
      <w:pPr>
        <w:tabs>
          <w:tab w:val="left" w:pos="8505"/>
        </w:tabs>
        <w:ind w:left="142"/>
        <w:jc w:val="center"/>
        <w:rPr>
          <w:rFonts w:ascii="Myriad Pro" w:hAnsi="Myriad Pro"/>
          <w:b/>
          <w:bCs/>
          <w:color w:val="FFFFFF" w:themeColor="background1"/>
          <w:sz w:val="32"/>
          <w:szCs w:val="32"/>
        </w:rPr>
      </w:pPr>
      <w:r w:rsidRPr="005B1408">
        <w:rPr>
          <w:rFonts w:ascii="Myriad Pro" w:hAnsi="Myriad Pro"/>
          <w:b/>
          <w:bCs/>
          <w:color w:val="FFFFFF" w:themeColor="background1"/>
          <w:sz w:val="32"/>
          <w:szCs w:val="32"/>
        </w:rPr>
        <w:t>Award ID 00090095</w:t>
      </w:r>
    </w:p>
    <w:p w14:paraId="736F40F0" w14:textId="77777777" w:rsidR="002619FA" w:rsidRDefault="009924BE" w:rsidP="002619FA">
      <w:pPr>
        <w:tabs>
          <w:tab w:val="left" w:pos="8505"/>
        </w:tabs>
        <w:jc w:val="center"/>
        <w:rPr>
          <w:rFonts w:ascii="Myriad Pro" w:hAnsi="Myriad Pro"/>
          <w:b/>
          <w:bCs/>
          <w:color w:val="FFFFFF" w:themeColor="background1"/>
          <w:sz w:val="32"/>
          <w:szCs w:val="32"/>
        </w:rPr>
      </w:pPr>
      <w:r w:rsidRPr="005B1408">
        <w:rPr>
          <w:rFonts w:ascii="Myriad Pro" w:hAnsi="Myriad Pro"/>
          <w:b/>
          <w:bCs/>
          <w:color w:val="FFFFFF" w:themeColor="background1"/>
          <w:sz w:val="32"/>
          <w:szCs w:val="32"/>
        </w:rPr>
        <w:t>Annual Progress Report</w:t>
      </w:r>
    </w:p>
    <w:p w14:paraId="56617228" w14:textId="5AB63FCF" w:rsidR="009D4134" w:rsidRDefault="005B1408" w:rsidP="00914791">
      <w:pPr>
        <w:tabs>
          <w:tab w:val="left" w:pos="8505"/>
        </w:tabs>
        <w:jc w:val="center"/>
      </w:pPr>
      <w:r>
        <w:rPr>
          <w:rFonts w:ascii="Myriad Pro" w:hAnsi="Myriad Pro"/>
          <w:b/>
          <w:bCs/>
          <w:color w:val="FFFFFF" w:themeColor="background1"/>
          <w:sz w:val="32"/>
          <w:szCs w:val="32"/>
        </w:rPr>
        <w:lastRenderedPageBreak/>
        <w:t>2017</w:t>
      </w:r>
    </w:p>
    <w:p w14:paraId="73654C1C" w14:textId="77777777" w:rsidR="00F41179" w:rsidRPr="00E905C0" w:rsidRDefault="00F41179" w:rsidP="00F41179">
      <w:pPr>
        <w:pStyle w:val="Title"/>
        <w:numPr>
          <w:ilvl w:val="0"/>
          <w:numId w:val="0"/>
        </w:numPr>
        <w:ind w:left="502" w:hanging="360"/>
        <w:jc w:val="center"/>
      </w:pPr>
      <w:r w:rsidRPr="00E905C0">
        <w:t>Acronyms</w:t>
      </w:r>
    </w:p>
    <w:p w14:paraId="1025B760" w14:textId="77777777" w:rsidR="00F41179" w:rsidRDefault="00F41179" w:rsidP="00F41179"/>
    <w:p w14:paraId="11F89241" w14:textId="77777777" w:rsidR="00F41179" w:rsidRDefault="00F41179" w:rsidP="00F41179"/>
    <w:p w14:paraId="080F79D2" w14:textId="77777777" w:rsidR="00F41179" w:rsidRDefault="00F41179" w:rsidP="00F41179">
      <w:pPr>
        <w:spacing w:after="0"/>
        <w:rPr>
          <w:sz w:val="24"/>
          <w:szCs w:val="24"/>
        </w:rPr>
      </w:pPr>
      <w:r>
        <w:rPr>
          <w:sz w:val="24"/>
          <w:szCs w:val="24"/>
        </w:rPr>
        <w:t xml:space="preserve">UNDP – </w:t>
      </w:r>
      <w:r w:rsidRPr="00E905C0">
        <w:rPr>
          <w:sz w:val="24"/>
          <w:szCs w:val="24"/>
        </w:rPr>
        <w:t>United Nations Development Programme</w:t>
      </w:r>
    </w:p>
    <w:p w14:paraId="54C1153A" w14:textId="77777777" w:rsidR="00F41179" w:rsidRDefault="00F41179" w:rsidP="00F41179">
      <w:pPr>
        <w:spacing w:after="0"/>
        <w:rPr>
          <w:sz w:val="24"/>
          <w:szCs w:val="24"/>
        </w:rPr>
      </w:pPr>
      <w:r>
        <w:rPr>
          <w:sz w:val="24"/>
          <w:szCs w:val="24"/>
        </w:rPr>
        <w:t xml:space="preserve">CMS – Case Management System </w:t>
      </w:r>
    </w:p>
    <w:p w14:paraId="0E5824CB" w14:textId="77777777" w:rsidR="00F41179" w:rsidRDefault="00F41179" w:rsidP="00F41179">
      <w:pPr>
        <w:spacing w:after="0"/>
        <w:rPr>
          <w:sz w:val="24"/>
          <w:szCs w:val="24"/>
        </w:rPr>
      </w:pPr>
      <w:r>
        <w:rPr>
          <w:sz w:val="24"/>
          <w:szCs w:val="24"/>
        </w:rPr>
        <w:t>CSO – Civil Society Organization</w:t>
      </w:r>
    </w:p>
    <w:p w14:paraId="6688479A" w14:textId="77777777" w:rsidR="00F41179" w:rsidRDefault="00F41179" w:rsidP="00F41179">
      <w:pPr>
        <w:spacing w:after="0"/>
        <w:rPr>
          <w:sz w:val="24"/>
          <w:szCs w:val="24"/>
        </w:rPr>
      </w:pPr>
      <w:proofErr w:type="spellStart"/>
      <w:r>
        <w:rPr>
          <w:sz w:val="24"/>
          <w:szCs w:val="24"/>
        </w:rPr>
        <w:t>GoSL</w:t>
      </w:r>
      <w:proofErr w:type="spellEnd"/>
      <w:r>
        <w:rPr>
          <w:sz w:val="24"/>
          <w:szCs w:val="24"/>
        </w:rPr>
        <w:t xml:space="preserve"> – Government of Sierra Leone</w:t>
      </w:r>
    </w:p>
    <w:p w14:paraId="152FC035" w14:textId="77777777" w:rsidR="00F41179" w:rsidRDefault="00F41179" w:rsidP="00F41179">
      <w:pPr>
        <w:spacing w:after="0"/>
        <w:rPr>
          <w:sz w:val="24"/>
          <w:szCs w:val="24"/>
        </w:rPr>
      </w:pPr>
      <w:r>
        <w:rPr>
          <w:sz w:val="24"/>
          <w:szCs w:val="24"/>
        </w:rPr>
        <w:t>HC – High Court</w:t>
      </w:r>
      <w:r w:rsidRPr="00F64A5B">
        <w:rPr>
          <w:sz w:val="24"/>
          <w:szCs w:val="24"/>
        </w:rPr>
        <w:t xml:space="preserve"> </w:t>
      </w:r>
    </w:p>
    <w:p w14:paraId="63ED5BE3" w14:textId="77777777" w:rsidR="00F41179" w:rsidRDefault="00F41179" w:rsidP="00F41179">
      <w:pPr>
        <w:spacing w:after="0"/>
        <w:rPr>
          <w:sz w:val="24"/>
          <w:szCs w:val="24"/>
        </w:rPr>
      </w:pPr>
      <w:r>
        <w:rPr>
          <w:sz w:val="24"/>
          <w:szCs w:val="24"/>
        </w:rPr>
        <w:t>HRBA – Human Rights-Based Approach</w:t>
      </w:r>
    </w:p>
    <w:p w14:paraId="23EAFADE" w14:textId="77777777" w:rsidR="00F41179" w:rsidRDefault="00F41179" w:rsidP="00F41179">
      <w:pPr>
        <w:spacing w:after="0"/>
        <w:rPr>
          <w:sz w:val="24"/>
          <w:szCs w:val="24"/>
        </w:rPr>
      </w:pPr>
      <w:r>
        <w:rPr>
          <w:sz w:val="24"/>
          <w:szCs w:val="24"/>
        </w:rPr>
        <w:t xml:space="preserve">HRC – Human Right Commission </w:t>
      </w:r>
    </w:p>
    <w:p w14:paraId="08A6E39A" w14:textId="77777777" w:rsidR="00F41179" w:rsidRDefault="00F41179" w:rsidP="00F41179">
      <w:pPr>
        <w:spacing w:after="0"/>
        <w:rPr>
          <w:sz w:val="24"/>
          <w:szCs w:val="24"/>
        </w:rPr>
      </w:pPr>
      <w:r>
        <w:rPr>
          <w:sz w:val="24"/>
          <w:szCs w:val="24"/>
        </w:rPr>
        <w:t>IP – Implementing Partner</w:t>
      </w:r>
    </w:p>
    <w:p w14:paraId="05765354" w14:textId="77777777" w:rsidR="00F41179" w:rsidRDefault="00F41179" w:rsidP="00F41179">
      <w:pPr>
        <w:spacing w:after="0"/>
        <w:rPr>
          <w:sz w:val="24"/>
          <w:szCs w:val="24"/>
        </w:rPr>
      </w:pPr>
      <w:r>
        <w:rPr>
          <w:sz w:val="24"/>
          <w:szCs w:val="24"/>
        </w:rPr>
        <w:t>IPCB – Independent Police Complaints Board</w:t>
      </w:r>
    </w:p>
    <w:p w14:paraId="276782D3" w14:textId="420AE274" w:rsidR="00F41179" w:rsidRDefault="00F41179" w:rsidP="00F41179">
      <w:pPr>
        <w:spacing w:after="0"/>
        <w:rPr>
          <w:sz w:val="24"/>
          <w:szCs w:val="24"/>
        </w:rPr>
      </w:pPr>
      <w:r>
        <w:rPr>
          <w:sz w:val="24"/>
          <w:szCs w:val="24"/>
        </w:rPr>
        <w:t xml:space="preserve">INL – </w:t>
      </w:r>
      <w:r w:rsidR="002A3F27">
        <w:rPr>
          <w:sz w:val="24"/>
          <w:szCs w:val="24"/>
        </w:rPr>
        <w:t xml:space="preserve">Bureau of </w:t>
      </w:r>
      <w:r>
        <w:rPr>
          <w:sz w:val="24"/>
          <w:szCs w:val="24"/>
        </w:rPr>
        <w:t>International Narcotics and Law Enforcement Affairs</w:t>
      </w:r>
    </w:p>
    <w:p w14:paraId="4912B32A" w14:textId="77777777" w:rsidR="00D80D97" w:rsidRDefault="00D80D97" w:rsidP="00F41179">
      <w:pPr>
        <w:spacing w:after="0"/>
        <w:rPr>
          <w:sz w:val="24"/>
          <w:szCs w:val="24"/>
        </w:rPr>
      </w:pPr>
      <w:r>
        <w:rPr>
          <w:sz w:val="24"/>
          <w:szCs w:val="24"/>
        </w:rPr>
        <w:t>JLTI – Judicial and Legal Training Institute</w:t>
      </w:r>
    </w:p>
    <w:p w14:paraId="6D703C47" w14:textId="77777777" w:rsidR="00F41179" w:rsidRDefault="00F41179" w:rsidP="00F41179">
      <w:pPr>
        <w:spacing w:after="0"/>
        <w:rPr>
          <w:sz w:val="24"/>
          <w:szCs w:val="24"/>
        </w:rPr>
      </w:pPr>
      <w:r>
        <w:rPr>
          <w:sz w:val="24"/>
          <w:szCs w:val="24"/>
        </w:rPr>
        <w:t>JSCO – Justice Sector Coordination Office</w:t>
      </w:r>
    </w:p>
    <w:p w14:paraId="05C570D3" w14:textId="77777777" w:rsidR="00F41179" w:rsidRDefault="00F41179" w:rsidP="00F41179">
      <w:pPr>
        <w:spacing w:after="0"/>
        <w:rPr>
          <w:sz w:val="24"/>
          <w:szCs w:val="24"/>
        </w:rPr>
      </w:pPr>
      <w:r>
        <w:rPr>
          <w:sz w:val="24"/>
          <w:szCs w:val="24"/>
        </w:rPr>
        <w:t>Justice App – Justice Application</w:t>
      </w:r>
      <w:r w:rsidRPr="00EF6456">
        <w:rPr>
          <w:sz w:val="24"/>
          <w:szCs w:val="24"/>
        </w:rPr>
        <w:t xml:space="preserve"> </w:t>
      </w:r>
    </w:p>
    <w:p w14:paraId="0285FA0A" w14:textId="77777777" w:rsidR="00F41179" w:rsidRDefault="00F41179" w:rsidP="00F41179">
      <w:pPr>
        <w:spacing w:after="0"/>
        <w:rPr>
          <w:sz w:val="24"/>
          <w:szCs w:val="24"/>
        </w:rPr>
      </w:pPr>
      <w:r>
        <w:rPr>
          <w:sz w:val="24"/>
          <w:szCs w:val="24"/>
        </w:rPr>
        <w:t>LAB – Legal Aid Board</w:t>
      </w:r>
    </w:p>
    <w:p w14:paraId="68D60BA0" w14:textId="77777777" w:rsidR="00F41179" w:rsidRDefault="00F41179" w:rsidP="00F41179">
      <w:pPr>
        <w:spacing w:after="0"/>
        <w:rPr>
          <w:sz w:val="24"/>
          <w:szCs w:val="24"/>
        </w:rPr>
      </w:pPr>
      <w:r>
        <w:rPr>
          <w:sz w:val="24"/>
          <w:szCs w:val="24"/>
        </w:rPr>
        <w:t>LOD – Law Officers’ Department</w:t>
      </w:r>
    </w:p>
    <w:p w14:paraId="7688E997" w14:textId="77777777" w:rsidR="00F41179" w:rsidRDefault="00F41179" w:rsidP="00F41179">
      <w:pPr>
        <w:spacing w:after="0"/>
        <w:rPr>
          <w:sz w:val="24"/>
          <w:szCs w:val="24"/>
        </w:rPr>
      </w:pPr>
      <w:r>
        <w:rPr>
          <w:sz w:val="24"/>
          <w:szCs w:val="24"/>
        </w:rPr>
        <w:t>MC – Magistrates Court</w:t>
      </w:r>
    </w:p>
    <w:p w14:paraId="7D764F58" w14:textId="77777777" w:rsidR="00F41179" w:rsidRDefault="00F41179" w:rsidP="00F41179">
      <w:pPr>
        <w:spacing w:after="0"/>
        <w:rPr>
          <w:sz w:val="24"/>
          <w:szCs w:val="24"/>
        </w:rPr>
      </w:pPr>
      <w:r>
        <w:rPr>
          <w:sz w:val="24"/>
          <w:szCs w:val="24"/>
        </w:rPr>
        <w:t>MIA – Ministry of Internal Affairs</w:t>
      </w:r>
    </w:p>
    <w:p w14:paraId="3ECEEF29" w14:textId="77777777" w:rsidR="00F41179" w:rsidRDefault="00F41179" w:rsidP="00F41179">
      <w:pPr>
        <w:spacing w:after="0"/>
        <w:rPr>
          <w:sz w:val="24"/>
          <w:szCs w:val="24"/>
        </w:rPr>
      </w:pPr>
      <w:r>
        <w:rPr>
          <w:sz w:val="24"/>
          <w:szCs w:val="24"/>
        </w:rPr>
        <w:t>MOJ – Ministry of Justice</w:t>
      </w:r>
    </w:p>
    <w:p w14:paraId="23B9CC0B" w14:textId="77777777" w:rsidR="00F41179" w:rsidRDefault="00F41179" w:rsidP="00F41179">
      <w:pPr>
        <w:spacing w:after="0"/>
        <w:rPr>
          <w:sz w:val="24"/>
          <w:szCs w:val="24"/>
        </w:rPr>
      </w:pPr>
      <w:r>
        <w:rPr>
          <w:sz w:val="24"/>
          <w:szCs w:val="24"/>
        </w:rPr>
        <w:t>M&amp;E – Monitoring and Evaluation</w:t>
      </w:r>
    </w:p>
    <w:p w14:paraId="29D574CD" w14:textId="77777777" w:rsidR="00F41179" w:rsidRDefault="00F41179" w:rsidP="00F41179">
      <w:pPr>
        <w:spacing w:after="0"/>
        <w:rPr>
          <w:sz w:val="24"/>
          <w:szCs w:val="24"/>
        </w:rPr>
      </w:pPr>
      <w:r>
        <w:rPr>
          <w:sz w:val="24"/>
          <w:szCs w:val="24"/>
        </w:rPr>
        <w:t xml:space="preserve">ONS – Office of National Security </w:t>
      </w:r>
    </w:p>
    <w:p w14:paraId="7CEE95CA" w14:textId="77777777" w:rsidR="00F41179" w:rsidRDefault="00F41179" w:rsidP="00F41179">
      <w:pPr>
        <w:spacing w:after="0"/>
        <w:rPr>
          <w:sz w:val="24"/>
          <w:szCs w:val="24"/>
        </w:rPr>
      </w:pPr>
      <w:r>
        <w:rPr>
          <w:sz w:val="24"/>
          <w:szCs w:val="24"/>
        </w:rPr>
        <w:t>SGBV – Sexual and Gender-Based Violence</w:t>
      </w:r>
      <w:r w:rsidRPr="00EF6456">
        <w:rPr>
          <w:sz w:val="24"/>
          <w:szCs w:val="24"/>
        </w:rPr>
        <w:t xml:space="preserve"> </w:t>
      </w:r>
    </w:p>
    <w:p w14:paraId="67F564DC" w14:textId="77777777" w:rsidR="00F41179" w:rsidRDefault="00F41179" w:rsidP="00F41179">
      <w:pPr>
        <w:spacing w:after="0"/>
        <w:rPr>
          <w:sz w:val="24"/>
          <w:szCs w:val="24"/>
        </w:rPr>
      </w:pPr>
      <w:r>
        <w:rPr>
          <w:sz w:val="24"/>
          <w:szCs w:val="24"/>
        </w:rPr>
        <w:t>SL – Sierra Leone</w:t>
      </w:r>
    </w:p>
    <w:p w14:paraId="4C2B3D23" w14:textId="77777777" w:rsidR="00F41179" w:rsidRDefault="00F41179" w:rsidP="00F41179">
      <w:pPr>
        <w:spacing w:after="0"/>
        <w:rPr>
          <w:sz w:val="24"/>
          <w:szCs w:val="24"/>
        </w:rPr>
      </w:pPr>
      <w:r>
        <w:rPr>
          <w:sz w:val="24"/>
          <w:szCs w:val="24"/>
        </w:rPr>
        <w:t>SLCS – Sierra Leone Correctional Service</w:t>
      </w:r>
    </w:p>
    <w:p w14:paraId="31D5532A" w14:textId="77777777" w:rsidR="00F41179" w:rsidRDefault="00F41179" w:rsidP="00F41179">
      <w:pPr>
        <w:spacing w:after="0"/>
        <w:rPr>
          <w:sz w:val="24"/>
          <w:szCs w:val="24"/>
        </w:rPr>
        <w:sectPr w:rsidR="00F41179" w:rsidSect="007C66D5">
          <w:footerReference w:type="default" r:id="rId11"/>
          <w:pgSz w:w="12240" w:h="15840"/>
          <w:pgMar w:top="1440" w:right="1440" w:bottom="426" w:left="1440" w:header="720" w:footer="720" w:gutter="0"/>
          <w:cols w:space="720"/>
          <w:docGrid w:linePitch="360"/>
        </w:sectPr>
      </w:pPr>
    </w:p>
    <w:p w14:paraId="5FE437DD" w14:textId="77777777" w:rsidR="00364201" w:rsidRDefault="00200CC8" w:rsidP="009924BE">
      <w:pPr>
        <w:pStyle w:val="Title"/>
        <w:numPr>
          <w:ilvl w:val="0"/>
          <w:numId w:val="0"/>
        </w:numPr>
        <w:ind w:left="502"/>
        <w:jc w:val="center"/>
      </w:pPr>
      <w:r>
        <w:lastRenderedPageBreak/>
        <w:t>Table of Contents</w:t>
      </w:r>
    </w:p>
    <w:p w14:paraId="51400FAC" w14:textId="77777777" w:rsidR="00200CC8" w:rsidRDefault="00200CC8" w:rsidP="00211B35">
      <w:pPr>
        <w:pBdr>
          <w:top w:val="single" w:sz="8" w:space="1" w:color="17365D" w:themeColor="text2" w:themeShade="BF"/>
        </w:pBdr>
      </w:pPr>
    </w:p>
    <w:p w14:paraId="21A61307" w14:textId="77777777" w:rsidR="00BB7D36" w:rsidRDefault="00040E98">
      <w:pPr>
        <w:pStyle w:val="TOC1"/>
        <w:rPr>
          <w:rFonts w:eastAsiaTheme="minorEastAsia"/>
          <w:b w:val="0"/>
          <w:bCs w:val="0"/>
          <w:caps w:val="0"/>
          <w:noProof/>
          <w:sz w:val="22"/>
          <w:szCs w:val="22"/>
        </w:rPr>
      </w:pPr>
      <w:r w:rsidRPr="001E7843">
        <w:rPr>
          <w:b w:val="0"/>
          <w:sz w:val="32"/>
          <w:szCs w:val="24"/>
        </w:rPr>
        <w:fldChar w:fldCharType="begin"/>
      </w:r>
      <w:r w:rsidRPr="001E7843">
        <w:rPr>
          <w:b w:val="0"/>
          <w:sz w:val="32"/>
          <w:szCs w:val="24"/>
        </w:rPr>
        <w:instrText xml:space="preserve"> TOC \o "1-1" \h \z \u </w:instrText>
      </w:r>
      <w:r w:rsidRPr="001E7843">
        <w:rPr>
          <w:b w:val="0"/>
          <w:sz w:val="32"/>
          <w:szCs w:val="24"/>
        </w:rPr>
        <w:fldChar w:fldCharType="separate"/>
      </w:r>
      <w:hyperlink w:anchor="_Toc503736514" w:history="1">
        <w:r w:rsidR="00BB7D36" w:rsidRPr="00FE4145">
          <w:rPr>
            <w:rStyle w:val="Hyperlink"/>
            <w:noProof/>
          </w:rPr>
          <w:t>I.</w:t>
        </w:r>
        <w:r w:rsidR="00BB7D36">
          <w:rPr>
            <w:rFonts w:eastAsiaTheme="minorEastAsia"/>
            <w:b w:val="0"/>
            <w:bCs w:val="0"/>
            <w:caps w:val="0"/>
            <w:noProof/>
            <w:sz w:val="22"/>
            <w:szCs w:val="22"/>
          </w:rPr>
          <w:tab/>
        </w:r>
        <w:r w:rsidR="00BB7D36" w:rsidRPr="00FE4145">
          <w:rPr>
            <w:rStyle w:val="Hyperlink"/>
            <w:noProof/>
          </w:rPr>
          <w:t>Project Status Information</w:t>
        </w:r>
        <w:r w:rsidR="00BB7D36">
          <w:rPr>
            <w:noProof/>
            <w:webHidden/>
          </w:rPr>
          <w:tab/>
        </w:r>
        <w:r w:rsidR="00BB7D36">
          <w:rPr>
            <w:noProof/>
            <w:webHidden/>
          </w:rPr>
          <w:fldChar w:fldCharType="begin"/>
        </w:r>
        <w:r w:rsidR="00BB7D36">
          <w:rPr>
            <w:noProof/>
            <w:webHidden/>
          </w:rPr>
          <w:instrText xml:space="preserve"> PAGEREF _Toc503736514 \h </w:instrText>
        </w:r>
        <w:r w:rsidR="00BB7D36">
          <w:rPr>
            <w:noProof/>
            <w:webHidden/>
          </w:rPr>
        </w:r>
        <w:r w:rsidR="00BB7D36">
          <w:rPr>
            <w:noProof/>
            <w:webHidden/>
          </w:rPr>
          <w:fldChar w:fldCharType="separate"/>
        </w:r>
        <w:r w:rsidR="0038118F">
          <w:rPr>
            <w:noProof/>
            <w:webHidden/>
          </w:rPr>
          <w:t>4</w:t>
        </w:r>
        <w:r w:rsidR="00BB7D36">
          <w:rPr>
            <w:noProof/>
            <w:webHidden/>
          </w:rPr>
          <w:fldChar w:fldCharType="end"/>
        </w:r>
      </w:hyperlink>
    </w:p>
    <w:p w14:paraId="7B34A957" w14:textId="77777777" w:rsidR="00BB7D36" w:rsidRDefault="002D4F3C">
      <w:pPr>
        <w:pStyle w:val="TOC1"/>
        <w:rPr>
          <w:rFonts w:eastAsiaTheme="minorEastAsia"/>
          <w:b w:val="0"/>
          <w:bCs w:val="0"/>
          <w:caps w:val="0"/>
          <w:noProof/>
          <w:sz w:val="22"/>
          <w:szCs w:val="22"/>
        </w:rPr>
      </w:pPr>
      <w:hyperlink w:anchor="_Toc503736515" w:history="1">
        <w:r w:rsidR="00BB7D36" w:rsidRPr="00FE4145">
          <w:rPr>
            <w:rStyle w:val="Hyperlink"/>
            <w:noProof/>
          </w:rPr>
          <w:t>II.</w:t>
        </w:r>
        <w:r w:rsidR="00BB7D36">
          <w:rPr>
            <w:rFonts w:eastAsiaTheme="minorEastAsia"/>
            <w:b w:val="0"/>
            <w:bCs w:val="0"/>
            <w:caps w:val="0"/>
            <w:noProof/>
            <w:sz w:val="22"/>
            <w:szCs w:val="22"/>
          </w:rPr>
          <w:tab/>
        </w:r>
        <w:r w:rsidR="00BB7D36" w:rsidRPr="00FE4145">
          <w:rPr>
            <w:rStyle w:val="Hyperlink"/>
            <w:noProof/>
          </w:rPr>
          <w:t>Executive Summary</w:t>
        </w:r>
        <w:r w:rsidR="00BB7D36">
          <w:rPr>
            <w:noProof/>
            <w:webHidden/>
          </w:rPr>
          <w:tab/>
        </w:r>
        <w:r w:rsidR="00BB7D36">
          <w:rPr>
            <w:noProof/>
            <w:webHidden/>
          </w:rPr>
          <w:fldChar w:fldCharType="begin"/>
        </w:r>
        <w:r w:rsidR="00BB7D36">
          <w:rPr>
            <w:noProof/>
            <w:webHidden/>
          </w:rPr>
          <w:instrText xml:space="preserve"> PAGEREF _Toc503736515 \h </w:instrText>
        </w:r>
        <w:r w:rsidR="00BB7D36">
          <w:rPr>
            <w:noProof/>
            <w:webHidden/>
          </w:rPr>
        </w:r>
        <w:r w:rsidR="00BB7D36">
          <w:rPr>
            <w:noProof/>
            <w:webHidden/>
          </w:rPr>
          <w:fldChar w:fldCharType="separate"/>
        </w:r>
        <w:r w:rsidR="0038118F">
          <w:rPr>
            <w:noProof/>
            <w:webHidden/>
          </w:rPr>
          <w:t>6</w:t>
        </w:r>
        <w:r w:rsidR="00BB7D36">
          <w:rPr>
            <w:noProof/>
            <w:webHidden/>
          </w:rPr>
          <w:fldChar w:fldCharType="end"/>
        </w:r>
      </w:hyperlink>
    </w:p>
    <w:p w14:paraId="2E51587B" w14:textId="77777777" w:rsidR="00BB7D36" w:rsidRDefault="002D4F3C">
      <w:pPr>
        <w:pStyle w:val="TOC1"/>
        <w:rPr>
          <w:rFonts w:eastAsiaTheme="minorEastAsia"/>
          <w:b w:val="0"/>
          <w:bCs w:val="0"/>
          <w:caps w:val="0"/>
          <w:noProof/>
          <w:sz w:val="22"/>
          <w:szCs w:val="22"/>
        </w:rPr>
      </w:pPr>
      <w:hyperlink w:anchor="_Toc503736516" w:history="1">
        <w:r w:rsidR="00BB7D36" w:rsidRPr="00FE4145">
          <w:rPr>
            <w:rStyle w:val="Hyperlink"/>
            <w:noProof/>
          </w:rPr>
          <w:t>III.</w:t>
        </w:r>
        <w:r w:rsidR="00BB7D36">
          <w:rPr>
            <w:rFonts w:eastAsiaTheme="minorEastAsia"/>
            <w:b w:val="0"/>
            <w:bCs w:val="0"/>
            <w:caps w:val="0"/>
            <w:noProof/>
            <w:sz w:val="22"/>
            <w:szCs w:val="22"/>
          </w:rPr>
          <w:tab/>
        </w:r>
        <w:r w:rsidR="00BB7D36" w:rsidRPr="00FE4145">
          <w:rPr>
            <w:rStyle w:val="Hyperlink"/>
            <w:noProof/>
          </w:rPr>
          <w:t>Indicators Based Performance Assessment</w:t>
        </w:r>
        <w:r w:rsidR="00BB7D36">
          <w:rPr>
            <w:noProof/>
            <w:webHidden/>
          </w:rPr>
          <w:tab/>
        </w:r>
        <w:r w:rsidR="00BB7D36">
          <w:rPr>
            <w:noProof/>
            <w:webHidden/>
          </w:rPr>
          <w:fldChar w:fldCharType="begin"/>
        </w:r>
        <w:r w:rsidR="00BB7D36">
          <w:rPr>
            <w:noProof/>
            <w:webHidden/>
          </w:rPr>
          <w:instrText xml:space="preserve"> PAGEREF _Toc503736516 \h </w:instrText>
        </w:r>
        <w:r w:rsidR="00BB7D36">
          <w:rPr>
            <w:noProof/>
            <w:webHidden/>
          </w:rPr>
        </w:r>
        <w:r w:rsidR="00BB7D36">
          <w:rPr>
            <w:noProof/>
            <w:webHidden/>
          </w:rPr>
          <w:fldChar w:fldCharType="separate"/>
        </w:r>
        <w:r w:rsidR="0038118F">
          <w:rPr>
            <w:noProof/>
            <w:webHidden/>
          </w:rPr>
          <w:t>8</w:t>
        </w:r>
        <w:r w:rsidR="00BB7D36">
          <w:rPr>
            <w:noProof/>
            <w:webHidden/>
          </w:rPr>
          <w:fldChar w:fldCharType="end"/>
        </w:r>
      </w:hyperlink>
    </w:p>
    <w:p w14:paraId="01BC337D" w14:textId="1B3F1397" w:rsidR="00BB7D36" w:rsidRDefault="002D4F3C">
      <w:pPr>
        <w:pStyle w:val="TOC1"/>
        <w:rPr>
          <w:rFonts w:eastAsiaTheme="minorEastAsia"/>
          <w:b w:val="0"/>
          <w:bCs w:val="0"/>
          <w:caps w:val="0"/>
          <w:noProof/>
          <w:sz w:val="22"/>
          <w:szCs w:val="22"/>
        </w:rPr>
      </w:pPr>
      <w:hyperlink w:anchor="_Toc503736517" w:history="1">
        <w:r w:rsidR="00BB7D36" w:rsidRPr="00FE4145">
          <w:rPr>
            <w:rStyle w:val="Hyperlink"/>
            <w:noProof/>
          </w:rPr>
          <w:t>IV.</w:t>
        </w:r>
        <w:r w:rsidR="00BB7D36">
          <w:rPr>
            <w:rFonts w:eastAsiaTheme="minorEastAsia"/>
            <w:b w:val="0"/>
            <w:bCs w:val="0"/>
            <w:caps w:val="0"/>
            <w:noProof/>
            <w:sz w:val="22"/>
            <w:szCs w:val="22"/>
          </w:rPr>
          <w:tab/>
        </w:r>
        <w:r w:rsidR="00BB7D36" w:rsidRPr="00FE4145">
          <w:rPr>
            <w:rStyle w:val="Hyperlink"/>
            <w:noProof/>
          </w:rPr>
          <w:t>Results</w:t>
        </w:r>
        <w:r w:rsidR="00BB7D36">
          <w:rPr>
            <w:noProof/>
            <w:webHidden/>
          </w:rPr>
          <w:tab/>
        </w:r>
        <w:r w:rsidR="00BB7D36">
          <w:rPr>
            <w:noProof/>
            <w:webHidden/>
          </w:rPr>
          <w:fldChar w:fldCharType="begin"/>
        </w:r>
        <w:r w:rsidR="00BB7D36">
          <w:rPr>
            <w:noProof/>
            <w:webHidden/>
          </w:rPr>
          <w:instrText xml:space="preserve"> PAGEREF _Toc503736517 \h </w:instrText>
        </w:r>
        <w:r w:rsidR="00BB7D36">
          <w:rPr>
            <w:noProof/>
            <w:webHidden/>
          </w:rPr>
        </w:r>
        <w:r w:rsidR="00BB7D36">
          <w:rPr>
            <w:noProof/>
            <w:webHidden/>
          </w:rPr>
          <w:fldChar w:fldCharType="separate"/>
        </w:r>
        <w:r w:rsidR="0038118F">
          <w:rPr>
            <w:noProof/>
            <w:webHidden/>
          </w:rPr>
          <w:t>1</w:t>
        </w:r>
        <w:r w:rsidR="00BB7D36">
          <w:rPr>
            <w:noProof/>
            <w:webHidden/>
          </w:rPr>
          <w:fldChar w:fldCharType="end"/>
        </w:r>
      </w:hyperlink>
      <w:r w:rsidR="00744103">
        <w:rPr>
          <w:noProof/>
        </w:rPr>
        <w:t>8</w:t>
      </w:r>
    </w:p>
    <w:p w14:paraId="2C0FFCDB" w14:textId="6BE30D0A" w:rsidR="00BB7D36" w:rsidRDefault="002D4F3C">
      <w:pPr>
        <w:pStyle w:val="TOC1"/>
        <w:rPr>
          <w:rFonts w:eastAsiaTheme="minorEastAsia"/>
          <w:b w:val="0"/>
          <w:bCs w:val="0"/>
          <w:caps w:val="0"/>
          <w:noProof/>
          <w:sz w:val="22"/>
          <w:szCs w:val="22"/>
        </w:rPr>
      </w:pPr>
      <w:hyperlink w:anchor="_Toc503736518" w:history="1">
        <w:r w:rsidR="00BB7D36" w:rsidRPr="00FE4145">
          <w:rPr>
            <w:rStyle w:val="Hyperlink"/>
            <w:noProof/>
          </w:rPr>
          <w:t>V.</w:t>
        </w:r>
        <w:r w:rsidR="00BB7D36">
          <w:rPr>
            <w:rFonts w:eastAsiaTheme="minorEastAsia"/>
            <w:b w:val="0"/>
            <w:bCs w:val="0"/>
            <w:caps w:val="0"/>
            <w:noProof/>
            <w:sz w:val="22"/>
            <w:szCs w:val="22"/>
          </w:rPr>
          <w:tab/>
        </w:r>
        <w:r w:rsidR="00BB7D36" w:rsidRPr="00FE4145">
          <w:rPr>
            <w:rStyle w:val="Hyperlink"/>
            <w:noProof/>
          </w:rPr>
          <w:t>RISKS AND ISSUES</w:t>
        </w:r>
        <w:r w:rsidR="00BB7D36">
          <w:rPr>
            <w:noProof/>
            <w:webHidden/>
          </w:rPr>
          <w:tab/>
        </w:r>
        <w:r w:rsidR="00BB7D36">
          <w:rPr>
            <w:noProof/>
            <w:webHidden/>
          </w:rPr>
          <w:fldChar w:fldCharType="begin"/>
        </w:r>
        <w:r w:rsidR="00BB7D36">
          <w:rPr>
            <w:noProof/>
            <w:webHidden/>
          </w:rPr>
          <w:instrText xml:space="preserve"> PAGEREF _Toc503736518 \h </w:instrText>
        </w:r>
        <w:r w:rsidR="00BB7D36">
          <w:rPr>
            <w:noProof/>
            <w:webHidden/>
          </w:rPr>
        </w:r>
        <w:r w:rsidR="00BB7D36">
          <w:rPr>
            <w:noProof/>
            <w:webHidden/>
          </w:rPr>
          <w:fldChar w:fldCharType="separate"/>
        </w:r>
        <w:r w:rsidR="0038118F">
          <w:rPr>
            <w:noProof/>
            <w:webHidden/>
          </w:rPr>
          <w:t>2</w:t>
        </w:r>
        <w:r w:rsidR="00BB7D36">
          <w:rPr>
            <w:noProof/>
            <w:webHidden/>
          </w:rPr>
          <w:fldChar w:fldCharType="end"/>
        </w:r>
      </w:hyperlink>
      <w:r w:rsidR="006366D8">
        <w:rPr>
          <w:noProof/>
        </w:rPr>
        <w:t>2</w:t>
      </w:r>
    </w:p>
    <w:p w14:paraId="7C642B1C" w14:textId="05B57B69" w:rsidR="00BB7D36" w:rsidRDefault="002D4F3C">
      <w:pPr>
        <w:pStyle w:val="TOC1"/>
        <w:rPr>
          <w:rFonts w:eastAsiaTheme="minorEastAsia"/>
          <w:b w:val="0"/>
          <w:bCs w:val="0"/>
          <w:caps w:val="0"/>
          <w:noProof/>
          <w:sz w:val="22"/>
          <w:szCs w:val="22"/>
        </w:rPr>
      </w:pPr>
      <w:hyperlink w:anchor="_Toc503736519" w:history="1">
        <w:r w:rsidR="00BB7D36" w:rsidRPr="00FE4145">
          <w:rPr>
            <w:rStyle w:val="Hyperlink"/>
            <w:noProof/>
          </w:rPr>
          <w:t>VI.</w:t>
        </w:r>
        <w:r w:rsidR="00BB7D36">
          <w:rPr>
            <w:rFonts w:eastAsiaTheme="minorEastAsia"/>
            <w:b w:val="0"/>
            <w:bCs w:val="0"/>
            <w:caps w:val="0"/>
            <w:noProof/>
            <w:sz w:val="22"/>
            <w:szCs w:val="22"/>
          </w:rPr>
          <w:tab/>
        </w:r>
        <w:r w:rsidR="00BB7D36" w:rsidRPr="00FE4145">
          <w:rPr>
            <w:rStyle w:val="Hyperlink"/>
            <w:noProof/>
          </w:rPr>
          <w:t>Partnerships</w:t>
        </w:r>
        <w:r w:rsidR="00BB7D36">
          <w:rPr>
            <w:noProof/>
            <w:webHidden/>
          </w:rPr>
          <w:tab/>
        </w:r>
        <w:r w:rsidR="00BB7D36">
          <w:rPr>
            <w:noProof/>
            <w:webHidden/>
          </w:rPr>
          <w:fldChar w:fldCharType="begin"/>
        </w:r>
        <w:r w:rsidR="00BB7D36">
          <w:rPr>
            <w:noProof/>
            <w:webHidden/>
          </w:rPr>
          <w:instrText xml:space="preserve"> PAGEREF _Toc503736519 \h </w:instrText>
        </w:r>
        <w:r w:rsidR="00BB7D36">
          <w:rPr>
            <w:noProof/>
            <w:webHidden/>
          </w:rPr>
        </w:r>
        <w:r w:rsidR="00BB7D36">
          <w:rPr>
            <w:noProof/>
            <w:webHidden/>
          </w:rPr>
          <w:fldChar w:fldCharType="separate"/>
        </w:r>
        <w:r w:rsidR="0038118F">
          <w:rPr>
            <w:noProof/>
            <w:webHidden/>
          </w:rPr>
          <w:t>2</w:t>
        </w:r>
        <w:r w:rsidR="00BB7D36">
          <w:rPr>
            <w:noProof/>
            <w:webHidden/>
          </w:rPr>
          <w:fldChar w:fldCharType="end"/>
        </w:r>
      </w:hyperlink>
      <w:r w:rsidR="006366D8">
        <w:rPr>
          <w:noProof/>
        </w:rPr>
        <w:t>4</w:t>
      </w:r>
    </w:p>
    <w:p w14:paraId="29D6C1F1" w14:textId="7385AF78" w:rsidR="00BB7D36" w:rsidRDefault="002D4F3C">
      <w:pPr>
        <w:pStyle w:val="TOC1"/>
        <w:rPr>
          <w:rFonts w:eastAsiaTheme="minorEastAsia"/>
          <w:b w:val="0"/>
          <w:bCs w:val="0"/>
          <w:caps w:val="0"/>
          <w:noProof/>
          <w:sz w:val="22"/>
          <w:szCs w:val="22"/>
        </w:rPr>
      </w:pPr>
      <w:hyperlink w:anchor="_Toc503736520" w:history="1">
        <w:r w:rsidR="00BB7D36" w:rsidRPr="00FE4145">
          <w:rPr>
            <w:rStyle w:val="Hyperlink"/>
            <w:noProof/>
          </w:rPr>
          <w:t>VII.</w:t>
        </w:r>
        <w:r w:rsidR="00BB7D36">
          <w:rPr>
            <w:rFonts w:eastAsiaTheme="minorEastAsia"/>
            <w:b w:val="0"/>
            <w:bCs w:val="0"/>
            <w:caps w:val="0"/>
            <w:noProof/>
            <w:sz w:val="22"/>
            <w:szCs w:val="22"/>
          </w:rPr>
          <w:tab/>
        </w:r>
        <w:r w:rsidR="00BB7D36" w:rsidRPr="00FE4145">
          <w:rPr>
            <w:rStyle w:val="Hyperlink"/>
            <w:noProof/>
          </w:rPr>
          <w:t>Innovative Initiatives</w:t>
        </w:r>
        <w:r w:rsidR="00BB7D36">
          <w:rPr>
            <w:noProof/>
            <w:webHidden/>
          </w:rPr>
          <w:tab/>
        </w:r>
        <w:r w:rsidR="00BB7D36">
          <w:rPr>
            <w:noProof/>
            <w:webHidden/>
          </w:rPr>
          <w:fldChar w:fldCharType="begin"/>
        </w:r>
        <w:r w:rsidR="00BB7D36">
          <w:rPr>
            <w:noProof/>
            <w:webHidden/>
          </w:rPr>
          <w:instrText xml:space="preserve"> PAGEREF _Toc503736520 \h </w:instrText>
        </w:r>
        <w:r w:rsidR="00BB7D36">
          <w:rPr>
            <w:noProof/>
            <w:webHidden/>
          </w:rPr>
        </w:r>
        <w:r w:rsidR="00BB7D36">
          <w:rPr>
            <w:noProof/>
            <w:webHidden/>
          </w:rPr>
          <w:fldChar w:fldCharType="separate"/>
        </w:r>
        <w:r w:rsidR="0038118F">
          <w:rPr>
            <w:noProof/>
            <w:webHidden/>
          </w:rPr>
          <w:t>2</w:t>
        </w:r>
        <w:r w:rsidR="00BB7D36">
          <w:rPr>
            <w:noProof/>
            <w:webHidden/>
          </w:rPr>
          <w:fldChar w:fldCharType="end"/>
        </w:r>
      </w:hyperlink>
      <w:r w:rsidR="006366D8">
        <w:rPr>
          <w:noProof/>
        </w:rPr>
        <w:t>4</w:t>
      </w:r>
    </w:p>
    <w:p w14:paraId="2EDAFC44" w14:textId="16B56357" w:rsidR="00BB7D36" w:rsidRDefault="002D4F3C">
      <w:pPr>
        <w:pStyle w:val="TOC1"/>
        <w:rPr>
          <w:rFonts w:eastAsiaTheme="minorEastAsia"/>
          <w:b w:val="0"/>
          <w:bCs w:val="0"/>
          <w:caps w:val="0"/>
          <w:noProof/>
          <w:sz w:val="22"/>
          <w:szCs w:val="22"/>
        </w:rPr>
      </w:pPr>
      <w:hyperlink w:anchor="_Toc503736521" w:history="1">
        <w:r w:rsidR="00BB7D36" w:rsidRPr="00FE4145">
          <w:rPr>
            <w:rStyle w:val="Hyperlink"/>
            <w:noProof/>
          </w:rPr>
          <w:t>VIII.</w:t>
        </w:r>
        <w:r w:rsidR="00BB7D36">
          <w:rPr>
            <w:rFonts w:eastAsiaTheme="minorEastAsia"/>
            <w:b w:val="0"/>
            <w:bCs w:val="0"/>
            <w:caps w:val="0"/>
            <w:noProof/>
            <w:sz w:val="22"/>
            <w:szCs w:val="22"/>
          </w:rPr>
          <w:tab/>
        </w:r>
        <w:r w:rsidR="00BB7D36" w:rsidRPr="00FE4145">
          <w:rPr>
            <w:rStyle w:val="Hyperlink"/>
            <w:noProof/>
          </w:rPr>
          <w:t>Challenges Lessons learned and Recommendations</w:t>
        </w:r>
        <w:r w:rsidR="00BB7D36">
          <w:rPr>
            <w:noProof/>
            <w:webHidden/>
          </w:rPr>
          <w:tab/>
        </w:r>
        <w:r w:rsidR="00BB7D36">
          <w:rPr>
            <w:noProof/>
            <w:webHidden/>
          </w:rPr>
          <w:fldChar w:fldCharType="begin"/>
        </w:r>
        <w:r w:rsidR="00BB7D36">
          <w:rPr>
            <w:noProof/>
            <w:webHidden/>
          </w:rPr>
          <w:instrText xml:space="preserve"> PAGEREF _Toc503736521 \h </w:instrText>
        </w:r>
        <w:r w:rsidR="00BB7D36">
          <w:rPr>
            <w:noProof/>
            <w:webHidden/>
          </w:rPr>
        </w:r>
        <w:r w:rsidR="00BB7D36">
          <w:rPr>
            <w:noProof/>
            <w:webHidden/>
          </w:rPr>
          <w:fldChar w:fldCharType="separate"/>
        </w:r>
        <w:r w:rsidR="0038118F">
          <w:rPr>
            <w:noProof/>
            <w:webHidden/>
          </w:rPr>
          <w:t>2</w:t>
        </w:r>
        <w:r w:rsidR="00BB7D36">
          <w:rPr>
            <w:noProof/>
            <w:webHidden/>
          </w:rPr>
          <w:fldChar w:fldCharType="end"/>
        </w:r>
      </w:hyperlink>
      <w:r w:rsidR="006366D8">
        <w:rPr>
          <w:noProof/>
        </w:rPr>
        <w:t>4</w:t>
      </w:r>
    </w:p>
    <w:p w14:paraId="220C7BA5" w14:textId="7669EF0B" w:rsidR="00BB7D36" w:rsidRDefault="002D4F3C">
      <w:pPr>
        <w:pStyle w:val="TOC1"/>
        <w:rPr>
          <w:rFonts w:eastAsiaTheme="minorEastAsia"/>
          <w:b w:val="0"/>
          <w:bCs w:val="0"/>
          <w:caps w:val="0"/>
          <w:noProof/>
          <w:sz w:val="22"/>
          <w:szCs w:val="22"/>
        </w:rPr>
      </w:pPr>
      <w:hyperlink w:anchor="_Toc503736522" w:history="1">
        <w:r w:rsidR="00BB7D36" w:rsidRPr="00FE4145">
          <w:rPr>
            <w:rStyle w:val="Hyperlink"/>
            <w:noProof/>
          </w:rPr>
          <w:t>IX.</w:t>
        </w:r>
        <w:r w:rsidR="00BB7D36">
          <w:rPr>
            <w:rFonts w:eastAsiaTheme="minorEastAsia"/>
            <w:b w:val="0"/>
            <w:bCs w:val="0"/>
            <w:caps w:val="0"/>
            <w:noProof/>
            <w:sz w:val="22"/>
            <w:szCs w:val="22"/>
          </w:rPr>
          <w:tab/>
        </w:r>
        <w:r w:rsidR="00BB7D36" w:rsidRPr="00FE4145">
          <w:rPr>
            <w:rStyle w:val="Hyperlink"/>
            <w:noProof/>
          </w:rPr>
          <w:t>Financial report 201</w:t>
        </w:r>
        <w:r w:rsidR="00442FFE">
          <w:rPr>
            <w:rStyle w:val="Hyperlink"/>
            <w:noProof/>
          </w:rPr>
          <w:t>8</w:t>
        </w:r>
        <w:r w:rsidR="00BB7D36">
          <w:rPr>
            <w:noProof/>
            <w:webHidden/>
          </w:rPr>
          <w:tab/>
        </w:r>
        <w:r w:rsidR="00BB7D36">
          <w:rPr>
            <w:noProof/>
            <w:webHidden/>
          </w:rPr>
          <w:fldChar w:fldCharType="begin"/>
        </w:r>
        <w:r w:rsidR="00BB7D36">
          <w:rPr>
            <w:noProof/>
            <w:webHidden/>
          </w:rPr>
          <w:instrText xml:space="preserve"> PAGEREF _Toc503736522 \h </w:instrText>
        </w:r>
        <w:r w:rsidR="00BB7D36">
          <w:rPr>
            <w:noProof/>
            <w:webHidden/>
          </w:rPr>
        </w:r>
        <w:r w:rsidR="00BB7D36">
          <w:rPr>
            <w:noProof/>
            <w:webHidden/>
          </w:rPr>
          <w:fldChar w:fldCharType="separate"/>
        </w:r>
        <w:r w:rsidR="0038118F">
          <w:rPr>
            <w:noProof/>
            <w:webHidden/>
          </w:rPr>
          <w:t>2</w:t>
        </w:r>
        <w:r w:rsidR="00BB7D36">
          <w:rPr>
            <w:noProof/>
            <w:webHidden/>
          </w:rPr>
          <w:fldChar w:fldCharType="end"/>
        </w:r>
      </w:hyperlink>
      <w:r w:rsidR="00442FFE">
        <w:rPr>
          <w:noProof/>
        </w:rPr>
        <w:t>6</w:t>
      </w:r>
    </w:p>
    <w:p w14:paraId="53F03298" w14:textId="2FFC360C" w:rsidR="00BB7D36" w:rsidRDefault="002D4F3C">
      <w:pPr>
        <w:pStyle w:val="TOC1"/>
        <w:rPr>
          <w:rFonts w:eastAsiaTheme="minorEastAsia"/>
          <w:b w:val="0"/>
          <w:bCs w:val="0"/>
          <w:caps w:val="0"/>
          <w:noProof/>
          <w:sz w:val="22"/>
          <w:szCs w:val="22"/>
        </w:rPr>
      </w:pPr>
      <w:hyperlink w:anchor="_Toc503736523" w:history="1">
        <w:r w:rsidR="00BB7D36" w:rsidRPr="00FE4145">
          <w:rPr>
            <w:rStyle w:val="Hyperlink"/>
            <w:noProof/>
          </w:rPr>
          <w:t>X.</w:t>
        </w:r>
        <w:r w:rsidR="00BB7D36">
          <w:rPr>
            <w:rFonts w:eastAsiaTheme="minorEastAsia"/>
            <w:b w:val="0"/>
            <w:bCs w:val="0"/>
            <w:caps w:val="0"/>
            <w:noProof/>
            <w:sz w:val="22"/>
            <w:szCs w:val="22"/>
          </w:rPr>
          <w:tab/>
        </w:r>
        <w:r w:rsidR="00BB7D36" w:rsidRPr="00FE4145">
          <w:rPr>
            <w:rStyle w:val="Hyperlink"/>
            <w:noProof/>
          </w:rPr>
          <w:t>Monitoring and Evaluation</w:t>
        </w:r>
        <w:r w:rsidR="00BB7D36">
          <w:rPr>
            <w:noProof/>
            <w:webHidden/>
          </w:rPr>
          <w:tab/>
        </w:r>
        <w:r w:rsidR="00BB7D36">
          <w:rPr>
            <w:noProof/>
            <w:webHidden/>
          </w:rPr>
          <w:fldChar w:fldCharType="begin"/>
        </w:r>
        <w:r w:rsidR="00BB7D36">
          <w:rPr>
            <w:noProof/>
            <w:webHidden/>
          </w:rPr>
          <w:instrText xml:space="preserve"> PAGEREF _Toc503736523 \h </w:instrText>
        </w:r>
        <w:r w:rsidR="00BB7D36">
          <w:rPr>
            <w:noProof/>
            <w:webHidden/>
          </w:rPr>
        </w:r>
        <w:r w:rsidR="00BB7D36">
          <w:rPr>
            <w:noProof/>
            <w:webHidden/>
          </w:rPr>
          <w:fldChar w:fldCharType="separate"/>
        </w:r>
        <w:r w:rsidR="0038118F">
          <w:rPr>
            <w:noProof/>
            <w:webHidden/>
          </w:rPr>
          <w:t>2</w:t>
        </w:r>
        <w:r w:rsidR="00442FFE">
          <w:rPr>
            <w:noProof/>
            <w:webHidden/>
          </w:rPr>
          <w:t>9</w:t>
        </w:r>
        <w:r w:rsidR="00BB7D36">
          <w:rPr>
            <w:noProof/>
            <w:webHidden/>
          </w:rPr>
          <w:fldChar w:fldCharType="end"/>
        </w:r>
      </w:hyperlink>
    </w:p>
    <w:p w14:paraId="40D1E043" w14:textId="52728C30" w:rsidR="00BB7D36" w:rsidRDefault="002D4F3C">
      <w:pPr>
        <w:pStyle w:val="TOC1"/>
        <w:rPr>
          <w:rFonts w:eastAsiaTheme="minorEastAsia"/>
          <w:b w:val="0"/>
          <w:bCs w:val="0"/>
          <w:caps w:val="0"/>
          <w:noProof/>
          <w:sz w:val="22"/>
          <w:szCs w:val="22"/>
        </w:rPr>
      </w:pPr>
      <w:hyperlink w:anchor="_Toc503736524" w:history="1">
        <w:r w:rsidR="00BB7D36" w:rsidRPr="00FE4145">
          <w:rPr>
            <w:rStyle w:val="Hyperlink"/>
            <w:noProof/>
          </w:rPr>
          <w:t>XI.</w:t>
        </w:r>
        <w:r w:rsidR="00BB7D36">
          <w:rPr>
            <w:rFonts w:eastAsiaTheme="minorEastAsia"/>
            <w:b w:val="0"/>
            <w:bCs w:val="0"/>
            <w:caps w:val="0"/>
            <w:noProof/>
            <w:sz w:val="22"/>
            <w:szCs w:val="22"/>
          </w:rPr>
          <w:tab/>
        </w:r>
        <w:r w:rsidR="00BB7D36" w:rsidRPr="00FE4145">
          <w:rPr>
            <w:rStyle w:val="Hyperlink"/>
            <w:noProof/>
          </w:rPr>
          <w:t>Annexes</w:t>
        </w:r>
        <w:r w:rsidR="00BB7D36">
          <w:rPr>
            <w:noProof/>
            <w:webHidden/>
          </w:rPr>
          <w:tab/>
        </w:r>
        <w:r w:rsidR="00BB7D36">
          <w:rPr>
            <w:noProof/>
            <w:webHidden/>
          </w:rPr>
          <w:fldChar w:fldCharType="begin"/>
        </w:r>
        <w:r w:rsidR="00BB7D36">
          <w:rPr>
            <w:noProof/>
            <w:webHidden/>
          </w:rPr>
          <w:instrText xml:space="preserve"> PAGEREF _Toc503736524 \h </w:instrText>
        </w:r>
        <w:r w:rsidR="00BB7D36">
          <w:rPr>
            <w:noProof/>
            <w:webHidden/>
          </w:rPr>
        </w:r>
        <w:r w:rsidR="00BB7D36">
          <w:rPr>
            <w:noProof/>
            <w:webHidden/>
          </w:rPr>
          <w:fldChar w:fldCharType="separate"/>
        </w:r>
        <w:r w:rsidR="0038118F">
          <w:rPr>
            <w:noProof/>
            <w:webHidden/>
          </w:rPr>
          <w:t>3</w:t>
        </w:r>
        <w:r w:rsidR="00BB7D36">
          <w:rPr>
            <w:noProof/>
            <w:webHidden/>
          </w:rPr>
          <w:fldChar w:fldCharType="end"/>
        </w:r>
      </w:hyperlink>
      <w:r w:rsidR="00442FFE">
        <w:rPr>
          <w:noProof/>
        </w:rPr>
        <w:t>1</w:t>
      </w:r>
    </w:p>
    <w:p w14:paraId="4E954B85" w14:textId="77777777" w:rsidR="00200CC8" w:rsidRDefault="00040E98" w:rsidP="009649A8">
      <w:pPr>
        <w:tabs>
          <w:tab w:val="left" w:pos="567"/>
        </w:tabs>
      </w:pPr>
      <w:r w:rsidRPr="001E7843">
        <w:rPr>
          <w:sz w:val="32"/>
          <w:szCs w:val="24"/>
        </w:rPr>
        <w:fldChar w:fldCharType="end"/>
      </w:r>
    </w:p>
    <w:p w14:paraId="507F1DB5" w14:textId="77777777" w:rsidR="00200CC8" w:rsidRPr="00754C34" w:rsidRDefault="00200CC8">
      <w:r w:rsidRPr="00754C34">
        <w:br w:type="page"/>
      </w:r>
    </w:p>
    <w:p w14:paraId="37A39447" w14:textId="77777777" w:rsidR="00200CC8" w:rsidRPr="009924BE" w:rsidRDefault="00200CC8" w:rsidP="009924BE">
      <w:pPr>
        <w:pStyle w:val="Heading1"/>
      </w:pPr>
      <w:bookmarkStart w:id="0" w:name="_Toc401569387"/>
      <w:bookmarkStart w:id="1" w:name="_Toc503736514"/>
      <w:r w:rsidRPr="009924BE">
        <w:lastRenderedPageBreak/>
        <w:t xml:space="preserve">Project </w:t>
      </w:r>
      <w:r w:rsidR="00AA493B" w:rsidRPr="009924BE">
        <w:t>S</w:t>
      </w:r>
      <w:r w:rsidR="007700CB" w:rsidRPr="009924BE">
        <w:t>tatus Information</w:t>
      </w:r>
      <w:bookmarkEnd w:id="0"/>
      <w:bookmarkEnd w:id="1"/>
    </w:p>
    <w:p w14:paraId="197C345F" w14:textId="77777777" w:rsidR="00F41179" w:rsidRDefault="00F41179" w:rsidP="00F41179">
      <w:pPr>
        <w:pStyle w:val="ListParagraph"/>
        <w:ind w:left="284"/>
      </w:pPr>
      <w:bookmarkStart w:id="2" w:name="_Toc401569388"/>
    </w:p>
    <w:tbl>
      <w:tblPr>
        <w:tblStyle w:val="TableGrid"/>
        <w:tblW w:w="0" w:type="auto"/>
        <w:tblInd w:w="284" w:type="dxa"/>
        <w:tblLook w:val="04A0" w:firstRow="1" w:lastRow="0" w:firstColumn="1" w:lastColumn="0" w:noHBand="0" w:noVBand="1"/>
      </w:tblPr>
      <w:tblGrid>
        <w:gridCol w:w="3031"/>
        <w:gridCol w:w="6035"/>
      </w:tblGrid>
      <w:tr w:rsidR="00F41179" w14:paraId="51A39FE0" w14:textId="77777777" w:rsidTr="00F41179">
        <w:tc>
          <w:tcPr>
            <w:tcW w:w="3085" w:type="dxa"/>
            <w:shd w:val="clear" w:color="auto" w:fill="DDD9C3" w:themeFill="background2" w:themeFillShade="E6"/>
          </w:tcPr>
          <w:p w14:paraId="4CF1EC6A" w14:textId="77777777" w:rsidR="00F41179" w:rsidRPr="002C539C" w:rsidRDefault="00F41179" w:rsidP="00F41179">
            <w:pPr>
              <w:pStyle w:val="ListParagraph"/>
              <w:ind w:left="0"/>
              <w:rPr>
                <w:b/>
                <w:bCs/>
                <w:sz w:val="24"/>
                <w:szCs w:val="24"/>
              </w:rPr>
            </w:pPr>
            <w:r w:rsidRPr="002C539C">
              <w:rPr>
                <w:b/>
                <w:bCs/>
                <w:sz w:val="24"/>
                <w:szCs w:val="24"/>
              </w:rPr>
              <w:t>Project title</w:t>
            </w:r>
            <w:r w:rsidR="00A8244D">
              <w:rPr>
                <w:b/>
                <w:bCs/>
                <w:sz w:val="24"/>
                <w:szCs w:val="24"/>
              </w:rPr>
              <w:t xml:space="preserve"> / Award ID</w:t>
            </w:r>
          </w:p>
        </w:tc>
        <w:tc>
          <w:tcPr>
            <w:tcW w:w="6207" w:type="dxa"/>
          </w:tcPr>
          <w:p w14:paraId="7807786B" w14:textId="77777777" w:rsidR="00F41179" w:rsidRDefault="00F41179" w:rsidP="00F41179">
            <w:pPr>
              <w:pStyle w:val="ListParagraph"/>
              <w:ind w:left="0"/>
            </w:pPr>
            <w:r>
              <w:t xml:space="preserve">Rule of Law Programme </w:t>
            </w:r>
            <w:r w:rsidR="00A8244D">
              <w:t>- 00090095</w:t>
            </w:r>
          </w:p>
        </w:tc>
      </w:tr>
      <w:tr w:rsidR="00F41179" w14:paraId="69AB3259" w14:textId="77777777" w:rsidTr="00F41179">
        <w:tc>
          <w:tcPr>
            <w:tcW w:w="3085" w:type="dxa"/>
            <w:shd w:val="clear" w:color="auto" w:fill="DDD9C3" w:themeFill="background2" w:themeFillShade="E6"/>
          </w:tcPr>
          <w:p w14:paraId="0D3929B9" w14:textId="77777777" w:rsidR="00F41179" w:rsidRPr="002C539C" w:rsidRDefault="00F41179" w:rsidP="00F41179">
            <w:pPr>
              <w:pStyle w:val="ListParagraph"/>
              <w:ind w:left="0"/>
              <w:rPr>
                <w:b/>
                <w:bCs/>
                <w:sz w:val="24"/>
                <w:szCs w:val="24"/>
              </w:rPr>
            </w:pPr>
            <w:r w:rsidRPr="002C539C">
              <w:rPr>
                <w:b/>
                <w:bCs/>
                <w:sz w:val="24"/>
                <w:szCs w:val="24"/>
              </w:rPr>
              <w:t>Project ID</w:t>
            </w:r>
          </w:p>
        </w:tc>
        <w:tc>
          <w:tcPr>
            <w:tcW w:w="6207" w:type="dxa"/>
          </w:tcPr>
          <w:p w14:paraId="65024D69" w14:textId="77777777" w:rsidR="00F41179" w:rsidRDefault="00F41179" w:rsidP="00F41179">
            <w:pPr>
              <w:pStyle w:val="ListParagraph"/>
              <w:ind w:left="0"/>
            </w:pPr>
            <w:r>
              <w:t>00102631 – From Prisons to Corrections</w:t>
            </w:r>
          </w:p>
          <w:p w14:paraId="24609F9F" w14:textId="77777777" w:rsidR="00F41179" w:rsidRDefault="00F41179" w:rsidP="00F41179">
            <w:pPr>
              <w:pStyle w:val="ListParagraph"/>
              <w:ind w:left="0"/>
            </w:pPr>
            <w:r>
              <w:t xml:space="preserve">00104225 – </w:t>
            </w:r>
            <w:r w:rsidR="00264281">
              <w:t>Strengthening</w:t>
            </w:r>
            <w:r>
              <w:t xml:space="preserve"> </w:t>
            </w:r>
            <w:proofErr w:type="spellStart"/>
            <w:r>
              <w:t>RoL</w:t>
            </w:r>
            <w:proofErr w:type="spellEnd"/>
            <w:r>
              <w:t>, Security and HR</w:t>
            </w:r>
            <w:r w:rsidR="00DA5C46">
              <w:t>s</w:t>
            </w:r>
            <w:r>
              <w:t xml:space="preserve"> in Sierra Leone</w:t>
            </w:r>
          </w:p>
          <w:p w14:paraId="29D84E83" w14:textId="77777777" w:rsidR="007738C6" w:rsidRDefault="007738C6" w:rsidP="007738C6">
            <w:pPr>
              <w:pStyle w:val="ListParagraph"/>
              <w:ind w:left="0"/>
            </w:pPr>
            <w:r>
              <w:t>00108282 – Support to Human Rights Commission Sierra Leone</w:t>
            </w:r>
          </w:p>
          <w:p w14:paraId="6A48B075" w14:textId="77777777" w:rsidR="00DA5C46" w:rsidRDefault="00DA5C46" w:rsidP="00F41179">
            <w:pPr>
              <w:pStyle w:val="ListParagraph"/>
              <w:ind w:left="0"/>
            </w:pPr>
          </w:p>
          <w:p w14:paraId="01A6738A" w14:textId="77777777" w:rsidR="00F41179" w:rsidRDefault="00F41179" w:rsidP="00A8244D">
            <w:pPr>
              <w:pStyle w:val="ListParagraph"/>
              <w:ind w:left="0"/>
            </w:pPr>
          </w:p>
        </w:tc>
      </w:tr>
      <w:tr w:rsidR="00F41179" w14:paraId="55351D4A" w14:textId="77777777" w:rsidTr="00F41179">
        <w:tc>
          <w:tcPr>
            <w:tcW w:w="3085" w:type="dxa"/>
            <w:shd w:val="clear" w:color="auto" w:fill="DDD9C3" w:themeFill="background2" w:themeFillShade="E6"/>
          </w:tcPr>
          <w:p w14:paraId="67B76988" w14:textId="77777777" w:rsidR="00F41179" w:rsidRPr="002C539C" w:rsidRDefault="00F41179" w:rsidP="00F41179">
            <w:pPr>
              <w:pStyle w:val="ListParagraph"/>
              <w:ind w:left="0"/>
              <w:rPr>
                <w:b/>
                <w:bCs/>
                <w:sz w:val="24"/>
                <w:szCs w:val="24"/>
              </w:rPr>
            </w:pPr>
            <w:r w:rsidRPr="002C539C">
              <w:rPr>
                <w:b/>
                <w:bCs/>
                <w:sz w:val="24"/>
                <w:szCs w:val="24"/>
              </w:rPr>
              <w:t>Project start Date / end Date</w:t>
            </w:r>
          </w:p>
        </w:tc>
        <w:tc>
          <w:tcPr>
            <w:tcW w:w="6207" w:type="dxa"/>
          </w:tcPr>
          <w:p w14:paraId="02586C9D" w14:textId="77777777" w:rsidR="00F41179" w:rsidRDefault="00F41179" w:rsidP="00F41179">
            <w:pPr>
              <w:pStyle w:val="ListParagraph"/>
              <w:ind w:left="0"/>
            </w:pPr>
            <w:r>
              <w:t>00102631 – 1 October 2016 – 31 December 2018</w:t>
            </w:r>
            <w:r w:rsidR="007738C6">
              <w:t xml:space="preserve"> </w:t>
            </w:r>
          </w:p>
          <w:p w14:paraId="154B6D39" w14:textId="77777777" w:rsidR="00F41179" w:rsidRDefault="00F41179" w:rsidP="00F41179">
            <w:pPr>
              <w:pStyle w:val="ListParagraph"/>
              <w:ind w:left="0"/>
            </w:pPr>
            <w:r>
              <w:t>00104225 – 1 January 2017 – 31 December 2019</w:t>
            </w:r>
          </w:p>
          <w:p w14:paraId="09A9E14E" w14:textId="77777777" w:rsidR="00F41179" w:rsidRDefault="007738C6" w:rsidP="00F41179">
            <w:pPr>
              <w:pStyle w:val="ListParagraph"/>
              <w:ind w:left="0"/>
            </w:pPr>
            <w:r>
              <w:t>00108282 – 1 January 2017 – 31 December 2019</w:t>
            </w:r>
          </w:p>
        </w:tc>
      </w:tr>
      <w:tr w:rsidR="00F41179" w14:paraId="5B65FDE8" w14:textId="77777777" w:rsidTr="00F41179">
        <w:tc>
          <w:tcPr>
            <w:tcW w:w="3085" w:type="dxa"/>
            <w:shd w:val="clear" w:color="auto" w:fill="DDD9C3" w:themeFill="background2" w:themeFillShade="E6"/>
          </w:tcPr>
          <w:p w14:paraId="71B1834F" w14:textId="77777777" w:rsidR="00F41179" w:rsidRPr="002C539C" w:rsidRDefault="00F41179" w:rsidP="00F41179">
            <w:pPr>
              <w:pStyle w:val="ListParagraph"/>
              <w:ind w:left="0"/>
              <w:rPr>
                <w:b/>
                <w:bCs/>
                <w:sz w:val="24"/>
                <w:szCs w:val="24"/>
              </w:rPr>
            </w:pPr>
            <w:r w:rsidRPr="002C539C">
              <w:rPr>
                <w:b/>
                <w:bCs/>
                <w:sz w:val="24"/>
                <w:szCs w:val="24"/>
              </w:rPr>
              <w:t>Implementing Modality</w:t>
            </w:r>
          </w:p>
        </w:tc>
        <w:tc>
          <w:tcPr>
            <w:tcW w:w="6207" w:type="dxa"/>
          </w:tcPr>
          <w:p w14:paraId="42076F53" w14:textId="77777777" w:rsidR="00F41179" w:rsidRDefault="00F41179" w:rsidP="00F41179">
            <w:pPr>
              <w:pStyle w:val="ListParagraph"/>
              <w:ind w:left="0"/>
            </w:pPr>
            <w:r>
              <w:t>DIM</w:t>
            </w:r>
          </w:p>
          <w:p w14:paraId="3246A649" w14:textId="77777777" w:rsidR="00F41179" w:rsidRDefault="00F41179" w:rsidP="00F41179">
            <w:pPr>
              <w:pStyle w:val="ListParagraph"/>
              <w:ind w:left="0"/>
            </w:pPr>
            <w:r>
              <w:t>NIM – Human Rights Commission</w:t>
            </w:r>
          </w:p>
        </w:tc>
      </w:tr>
      <w:tr w:rsidR="00F41179" w14:paraId="39CCFDD2" w14:textId="77777777" w:rsidTr="00F41179">
        <w:tc>
          <w:tcPr>
            <w:tcW w:w="3085" w:type="dxa"/>
            <w:shd w:val="clear" w:color="auto" w:fill="DDD9C3" w:themeFill="background2" w:themeFillShade="E6"/>
          </w:tcPr>
          <w:p w14:paraId="72CAA0BE" w14:textId="77777777" w:rsidR="00F41179" w:rsidRPr="002C539C" w:rsidRDefault="00F41179" w:rsidP="00F41179">
            <w:pPr>
              <w:pStyle w:val="ListParagraph"/>
              <w:ind w:left="0"/>
              <w:rPr>
                <w:b/>
                <w:bCs/>
                <w:sz w:val="24"/>
                <w:szCs w:val="24"/>
              </w:rPr>
            </w:pPr>
            <w:r w:rsidRPr="002C539C">
              <w:rPr>
                <w:b/>
                <w:bCs/>
                <w:sz w:val="24"/>
                <w:szCs w:val="24"/>
              </w:rPr>
              <w:t>Implementing Partner(s)</w:t>
            </w:r>
          </w:p>
        </w:tc>
        <w:tc>
          <w:tcPr>
            <w:tcW w:w="6207" w:type="dxa"/>
          </w:tcPr>
          <w:p w14:paraId="628595B4" w14:textId="77777777" w:rsidR="00F41179" w:rsidRDefault="00F41179" w:rsidP="00F41179">
            <w:pPr>
              <w:pStyle w:val="ListParagraph"/>
              <w:ind w:left="0"/>
            </w:pPr>
            <w:r>
              <w:t>MIA, MOJ, Judiciary, SLCS, SLP, IPCB, JSCO, LAB, HRC, CSOs</w:t>
            </w:r>
          </w:p>
        </w:tc>
      </w:tr>
      <w:tr w:rsidR="00F41179" w14:paraId="4CC532B5" w14:textId="77777777" w:rsidTr="00F41179">
        <w:trPr>
          <w:trHeight w:val="114"/>
        </w:trPr>
        <w:tc>
          <w:tcPr>
            <w:tcW w:w="3085" w:type="dxa"/>
            <w:shd w:val="clear" w:color="auto" w:fill="DDD9C3" w:themeFill="background2" w:themeFillShade="E6"/>
          </w:tcPr>
          <w:p w14:paraId="08323C8E" w14:textId="77777777" w:rsidR="00F41179" w:rsidRPr="002C539C" w:rsidRDefault="00F41179" w:rsidP="00F41179">
            <w:pPr>
              <w:pStyle w:val="ListParagraph"/>
              <w:ind w:left="0"/>
              <w:rPr>
                <w:b/>
                <w:bCs/>
                <w:sz w:val="24"/>
                <w:szCs w:val="24"/>
              </w:rPr>
            </w:pPr>
            <w:r>
              <w:rPr>
                <w:b/>
                <w:bCs/>
                <w:sz w:val="24"/>
                <w:szCs w:val="24"/>
              </w:rPr>
              <w:t>Cluster name</w:t>
            </w:r>
          </w:p>
        </w:tc>
        <w:tc>
          <w:tcPr>
            <w:tcW w:w="6207" w:type="dxa"/>
          </w:tcPr>
          <w:p w14:paraId="0A49D035" w14:textId="77777777" w:rsidR="00F41179" w:rsidRDefault="00F41179" w:rsidP="00F41179">
            <w:pPr>
              <w:pStyle w:val="ListParagraph"/>
              <w:ind w:left="0"/>
            </w:pPr>
            <w:r>
              <w:t>Governance Cluster</w:t>
            </w:r>
          </w:p>
        </w:tc>
      </w:tr>
      <w:tr w:rsidR="00F41179" w14:paraId="484DE5C7" w14:textId="77777777" w:rsidTr="00F41179">
        <w:trPr>
          <w:trHeight w:val="114"/>
        </w:trPr>
        <w:tc>
          <w:tcPr>
            <w:tcW w:w="3085" w:type="dxa"/>
            <w:shd w:val="clear" w:color="auto" w:fill="DDD9C3" w:themeFill="background2" w:themeFillShade="E6"/>
          </w:tcPr>
          <w:p w14:paraId="44371F19" w14:textId="77777777" w:rsidR="00F41179" w:rsidRPr="002C539C" w:rsidRDefault="00F41179" w:rsidP="00F41179">
            <w:pPr>
              <w:pStyle w:val="ListParagraph"/>
              <w:ind w:left="0"/>
              <w:rPr>
                <w:b/>
                <w:bCs/>
                <w:sz w:val="24"/>
                <w:szCs w:val="24"/>
              </w:rPr>
            </w:pPr>
            <w:r w:rsidRPr="002C539C">
              <w:rPr>
                <w:b/>
                <w:bCs/>
                <w:sz w:val="24"/>
                <w:szCs w:val="24"/>
              </w:rPr>
              <w:t>Donors</w:t>
            </w:r>
          </w:p>
        </w:tc>
        <w:tc>
          <w:tcPr>
            <w:tcW w:w="6207" w:type="dxa"/>
          </w:tcPr>
          <w:p w14:paraId="11B0D7A7" w14:textId="77777777" w:rsidR="00F41179" w:rsidRDefault="00A86E89" w:rsidP="00F41179">
            <w:pPr>
              <w:pStyle w:val="ListParagraph"/>
              <w:ind w:left="0"/>
            </w:pPr>
            <w:r>
              <w:t xml:space="preserve">UNDP TRAC and Bureau of International Narcotics and Law Enforcement Affairs (INL) </w:t>
            </w:r>
            <w:r w:rsidR="00F41179">
              <w:t xml:space="preserve">US State Department </w:t>
            </w:r>
          </w:p>
        </w:tc>
      </w:tr>
    </w:tbl>
    <w:p w14:paraId="6F74E166" w14:textId="77777777" w:rsidR="00F41179" w:rsidRDefault="00F41179" w:rsidP="00F41179">
      <w:pPr>
        <w:pStyle w:val="ListParagraph"/>
        <w:ind w:left="284"/>
      </w:pPr>
    </w:p>
    <w:p w14:paraId="71F80BA6" w14:textId="77777777" w:rsidR="00F41179" w:rsidRDefault="00F41179" w:rsidP="00F41179">
      <w:pPr>
        <w:pStyle w:val="ListParagraph"/>
        <w:ind w:left="284"/>
      </w:pPr>
    </w:p>
    <w:tbl>
      <w:tblPr>
        <w:tblStyle w:val="TableGrid"/>
        <w:tblW w:w="0" w:type="auto"/>
        <w:tblInd w:w="284" w:type="dxa"/>
        <w:tblLook w:val="04A0" w:firstRow="1" w:lastRow="0" w:firstColumn="1" w:lastColumn="0" w:noHBand="0" w:noVBand="1"/>
      </w:tblPr>
      <w:tblGrid>
        <w:gridCol w:w="3429"/>
        <w:gridCol w:w="5637"/>
      </w:tblGrid>
      <w:tr w:rsidR="00F41179" w14:paraId="710EC33F" w14:textId="77777777" w:rsidTr="00F41179">
        <w:tc>
          <w:tcPr>
            <w:tcW w:w="3510" w:type="dxa"/>
            <w:shd w:val="clear" w:color="auto" w:fill="DDD9C3" w:themeFill="background2" w:themeFillShade="E6"/>
          </w:tcPr>
          <w:p w14:paraId="53E3DA69" w14:textId="77777777" w:rsidR="00F41179" w:rsidRPr="002C539C" w:rsidRDefault="00F41179" w:rsidP="00F41179">
            <w:pPr>
              <w:pStyle w:val="ListParagraph"/>
              <w:ind w:left="0"/>
              <w:rPr>
                <w:b/>
                <w:bCs/>
                <w:sz w:val="24"/>
                <w:szCs w:val="24"/>
              </w:rPr>
            </w:pPr>
            <w:r>
              <w:rPr>
                <w:b/>
                <w:bCs/>
                <w:sz w:val="24"/>
                <w:szCs w:val="24"/>
              </w:rPr>
              <w:t>Project Objective</w:t>
            </w:r>
          </w:p>
        </w:tc>
        <w:tc>
          <w:tcPr>
            <w:tcW w:w="5782" w:type="dxa"/>
          </w:tcPr>
          <w:p w14:paraId="673ED8C4" w14:textId="7912267A" w:rsidR="00F41179" w:rsidRDefault="00F41179" w:rsidP="00F41179">
            <w:pPr>
              <w:pStyle w:val="ListParagraph"/>
              <w:ind w:left="0"/>
            </w:pPr>
            <w:r>
              <w:t>Enhancing the ability of rule of law and security institutions to deliver services in a transparent and accountable manner to the most vulnerable and marginalized groups in S</w:t>
            </w:r>
            <w:r w:rsidR="002A3F27">
              <w:t xml:space="preserve">ierra Leone </w:t>
            </w:r>
            <w:r w:rsidR="00DB2031">
              <w:t xml:space="preserve">and fostering </w:t>
            </w:r>
            <w:r w:rsidR="002A3F27">
              <w:t xml:space="preserve">respect for </w:t>
            </w:r>
            <w:r w:rsidR="00DB2031">
              <w:t xml:space="preserve">human rights and </w:t>
            </w:r>
            <w:r w:rsidR="002A3F27">
              <w:t xml:space="preserve">strengthening </w:t>
            </w:r>
            <w:r w:rsidR="00DB2031">
              <w:t>oversight</w:t>
            </w:r>
            <w:r w:rsidR="002A3F27">
              <w:t xml:space="preserve"> and accountability</w:t>
            </w:r>
            <w:r w:rsidR="00DB2031">
              <w:t xml:space="preserve"> </w:t>
            </w:r>
          </w:p>
        </w:tc>
      </w:tr>
      <w:tr w:rsidR="00F41179" w14:paraId="2ED1C2A8" w14:textId="77777777" w:rsidTr="00F41179">
        <w:tc>
          <w:tcPr>
            <w:tcW w:w="3510" w:type="dxa"/>
            <w:shd w:val="clear" w:color="auto" w:fill="DDD9C3" w:themeFill="background2" w:themeFillShade="E6"/>
          </w:tcPr>
          <w:p w14:paraId="5E65453D" w14:textId="77777777" w:rsidR="00F41179" w:rsidRPr="002C539C" w:rsidRDefault="00F41179" w:rsidP="00F41179">
            <w:pPr>
              <w:pStyle w:val="ListParagraph"/>
              <w:ind w:left="0"/>
              <w:rPr>
                <w:b/>
                <w:bCs/>
                <w:sz w:val="24"/>
                <w:szCs w:val="24"/>
              </w:rPr>
            </w:pPr>
            <w:r>
              <w:rPr>
                <w:b/>
                <w:bCs/>
                <w:sz w:val="24"/>
                <w:szCs w:val="24"/>
              </w:rPr>
              <w:t>UNDP R</w:t>
            </w:r>
            <w:r w:rsidRPr="002C539C">
              <w:rPr>
                <w:b/>
                <w:bCs/>
                <w:sz w:val="24"/>
                <w:szCs w:val="24"/>
              </w:rPr>
              <w:t>PD outcome</w:t>
            </w:r>
            <w:r>
              <w:rPr>
                <w:b/>
                <w:bCs/>
                <w:sz w:val="24"/>
                <w:szCs w:val="24"/>
              </w:rPr>
              <w:t xml:space="preserve"> / </w:t>
            </w:r>
            <w:r w:rsidRPr="002C539C">
              <w:rPr>
                <w:b/>
                <w:bCs/>
                <w:sz w:val="24"/>
                <w:szCs w:val="24"/>
              </w:rPr>
              <w:t>UNDP Strategic Plan RRF outcome</w:t>
            </w:r>
          </w:p>
        </w:tc>
        <w:tc>
          <w:tcPr>
            <w:tcW w:w="5782" w:type="dxa"/>
          </w:tcPr>
          <w:p w14:paraId="6E1E3104" w14:textId="77777777" w:rsidR="00A86E89" w:rsidRDefault="00A86E89" w:rsidP="00F41179">
            <w:pPr>
              <w:pStyle w:val="ListParagraph"/>
              <w:ind w:left="0"/>
            </w:pPr>
            <w:r>
              <w:t xml:space="preserve">2014-2017 </w:t>
            </w:r>
            <w:r w:rsidRPr="00A86E89">
              <w:t>Countries have strengthened institutions to progressively deliver universal access to basic services</w:t>
            </w:r>
          </w:p>
          <w:p w14:paraId="174B49F6" w14:textId="77777777" w:rsidR="00A86E89" w:rsidRDefault="00A86E89" w:rsidP="00F41179">
            <w:pPr>
              <w:pStyle w:val="ListParagraph"/>
              <w:ind w:left="0"/>
            </w:pPr>
          </w:p>
          <w:p w14:paraId="3E611E3C" w14:textId="77777777" w:rsidR="00F41179" w:rsidRDefault="00A86E89" w:rsidP="00F41179">
            <w:pPr>
              <w:pStyle w:val="ListParagraph"/>
              <w:ind w:left="0"/>
            </w:pPr>
            <w:r>
              <w:t xml:space="preserve">2018 – 2021 </w:t>
            </w:r>
            <w:r w:rsidR="00F41179" w:rsidRPr="005B220B">
              <w:t>(2) Strengthen effective, inclusive and accountable governance and (6) strengthen gender equality and the empowe</w:t>
            </w:r>
            <w:r w:rsidR="00F41179">
              <w:t>rment of women and girls</w:t>
            </w:r>
            <w:r w:rsidR="00F41179">
              <w:tab/>
            </w:r>
            <w:r w:rsidR="00F41179">
              <w:tab/>
            </w:r>
          </w:p>
        </w:tc>
      </w:tr>
    </w:tbl>
    <w:p w14:paraId="40257F39" w14:textId="77777777" w:rsidR="00F41179" w:rsidRDefault="00F41179" w:rsidP="00F41179">
      <w:pPr>
        <w:pStyle w:val="ListParagraph"/>
        <w:ind w:left="284"/>
      </w:pPr>
    </w:p>
    <w:tbl>
      <w:tblPr>
        <w:tblW w:w="9350" w:type="dxa"/>
        <w:tblLook w:val="04A0" w:firstRow="1" w:lastRow="0" w:firstColumn="1" w:lastColumn="0" w:noHBand="0" w:noVBand="1"/>
      </w:tblPr>
      <w:tblGrid>
        <w:gridCol w:w="1087"/>
        <w:gridCol w:w="2593"/>
        <w:gridCol w:w="3330"/>
        <w:gridCol w:w="2340"/>
      </w:tblGrid>
      <w:tr w:rsidR="0068210E" w:rsidRPr="0068210E" w14:paraId="681B2110" w14:textId="77777777" w:rsidTr="0068210E">
        <w:trPr>
          <w:trHeight w:val="1060"/>
        </w:trPr>
        <w:tc>
          <w:tcPr>
            <w:tcW w:w="1087"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14:paraId="272B34E9"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8"/>
                <w:szCs w:val="28"/>
              </w:rPr>
            </w:pPr>
            <w:r w:rsidRPr="0068210E">
              <w:rPr>
                <w:rFonts w:ascii="Times New Roman" w:eastAsia="Times New Roman" w:hAnsi="Times New Roman" w:cs="Times New Roman"/>
                <w:b/>
                <w:bCs/>
                <w:color w:val="000000"/>
                <w:sz w:val="28"/>
                <w:szCs w:val="28"/>
              </w:rPr>
              <w:t>Project</w:t>
            </w:r>
          </w:p>
        </w:tc>
        <w:tc>
          <w:tcPr>
            <w:tcW w:w="2593" w:type="dxa"/>
            <w:tcBorders>
              <w:top w:val="single" w:sz="8" w:space="0" w:color="auto"/>
              <w:left w:val="nil"/>
              <w:bottom w:val="single" w:sz="8" w:space="0" w:color="auto"/>
              <w:right w:val="single" w:sz="8" w:space="0" w:color="auto"/>
            </w:tcBorders>
            <w:shd w:val="clear" w:color="000000" w:fill="DDD9C3"/>
            <w:vAlign w:val="center"/>
            <w:hideMark/>
          </w:tcPr>
          <w:p w14:paraId="3F998917"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8"/>
                <w:szCs w:val="28"/>
              </w:rPr>
            </w:pPr>
            <w:r w:rsidRPr="0068210E">
              <w:rPr>
                <w:rFonts w:ascii="Times New Roman" w:eastAsia="Times New Roman" w:hAnsi="Times New Roman" w:cs="Times New Roman"/>
                <w:b/>
                <w:bCs/>
                <w:color w:val="000000"/>
                <w:sz w:val="28"/>
                <w:szCs w:val="28"/>
              </w:rPr>
              <w:t>Annual Budget</w:t>
            </w:r>
          </w:p>
        </w:tc>
        <w:tc>
          <w:tcPr>
            <w:tcW w:w="3330" w:type="dxa"/>
            <w:tcBorders>
              <w:top w:val="single" w:sz="8" w:space="0" w:color="auto"/>
              <w:left w:val="nil"/>
              <w:bottom w:val="single" w:sz="8" w:space="0" w:color="auto"/>
              <w:right w:val="single" w:sz="8" w:space="0" w:color="auto"/>
            </w:tcBorders>
            <w:shd w:val="clear" w:color="000000" w:fill="DDD9C3"/>
            <w:vAlign w:val="center"/>
            <w:hideMark/>
          </w:tcPr>
          <w:p w14:paraId="002D04E9"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8"/>
                <w:szCs w:val="28"/>
              </w:rPr>
            </w:pPr>
            <w:r w:rsidRPr="0068210E">
              <w:rPr>
                <w:rFonts w:ascii="Times New Roman" w:eastAsia="Times New Roman" w:hAnsi="Times New Roman" w:cs="Times New Roman"/>
                <w:b/>
                <w:bCs/>
                <w:color w:val="000000"/>
                <w:sz w:val="28"/>
                <w:szCs w:val="28"/>
              </w:rPr>
              <w:t>Expenses as of 31 December 2018</w:t>
            </w:r>
          </w:p>
        </w:tc>
        <w:tc>
          <w:tcPr>
            <w:tcW w:w="2340" w:type="dxa"/>
            <w:tcBorders>
              <w:top w:val="single" w:sz="8" w:space="0" w:color="auto"/>
              <w:left w:val="nil"/>
              <w:bottom w:val="single" w:sz="8" w:space="0" w:color="auto"/>
              <w:right w:val="single" w:sz="8" w:space="0" w:color="auto"/>
            </w:tcBorders>
            <w:shd w:val="clear" w:color="000000" w:fill="DDD9C3"/>
            <w:vAlign w:val="center"/>
            <w:hideMark/>
          </w:tcPr>
          <w:p w14:paraId="5A22120B"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8"/>
                <w:szCs w:val="28"/>
              </w:rPr>
            </w:pPr>
            <w:r w:rsidRPr="0068210E">
              <w:rPr>
                <w:rFonts w:ascii="Times New Roman" w:eastAsia="Times New Roman" w:hAnsi="Times New Roman" w:cs="Times New Roman"/>
                <w:b/>
                <w:bCs/>
                <w:color w:val="000000"/>
                <w:sz w:val="28"/>
                <w:szCs w:val="28"/>
              </w:rPr>
              <w:t>expenses</w:t>
            </w:r>
            <w:r w:rsidRPr="0068210E">
              <w:rPr>
                <w:rFonts w:ascii="Calibri" w:eastAsia="Times New Roman" w:hAnsi="Calibri" w:cs="Calibri"/>
                <w:color w:val="000000"/>
                <w:sz w:val="16"/>
                <w:szCs w:val="16"/>
              </w:rPr>
              <w:t> </w:t>
            </w:r>
          </w:p>
        </w:tc>
      </w:tr>
      <w:tr w:rsidR="0068210E" w:rsidRPr="0068210E" w14:paraId="31CE2DDC" w14:textId="77777777" w:rsidTr="0068210E">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14:paraId="73D04EB5" w14:textId="77777777" w:rsidR="0068210E" w:rsidRPr="0068210E" w:rsidRDefault="0068210E" w:rsidP="0068210E">
            <w:pPr>
              <w:spacing w:after="0" w:line="240" w:lineRule="auto"/>
              <w:rPr>
                <w:rFonts w:ascii="Times New Roman" w:eastAsia="Times New Roman" w:hAnsi="Times New Roman" w:cs="Times New Roman"/>
                <w:b/>
                <w:bCs/>
                <w:color w:val="000000"/>
                <w:sz w:val="28"/>
                <w:szCs w:val="28"/>
              </w:rPr>
            </w:pPr>
          </w:p>
        </w:tc>
        <w:tc>
          <w:tcPr>
            <w:tcW w:w="2593" w:type="dxa"/>
            <w:tcBorders>
              <w:top w:val="nil"/>
              <w:left w:val="nil"/>
              <w:bottom w:val="single" w:sz="8" w:space="0" w:color="auto"/>
              <w:right w:val="single" w:sz="8" w:space="0" w:color="auto"/>
            </w:tcBorders>
            <w:shd w:val="clear" w:color="000000" w:fill="DDD9C3"/>
            <w:vAlign w:val="center"/>
            <w:hideMark/>
          </w:tcPr>
          <w:p w14:paraId="1968652D"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0"/>
                <w:szCs w:val="20"/>
              </w:rPr>
            </w:pPr>
            <w:r w:rsidRPr="0068210E">
              <w:rPr>
                <w:rFonts w:ascii="Times New Roman" w:eastAsia="Times New Roman" w:hAnsi="Times New Roman" w:cs="Times New Roman"/>
                <w:b/>
                <w:bCs/>
                <w:color w:val="000000"/>
                <w:sz w:val="20"/>
                <w:szCs w:val="20"/>
              </w:rPr>
              <w:t>(US$)</w:t>
            </w:r>
          </w:p>
        </w:tc>
        <w:tc>
          <w:tcPr>
            <w:tcW w:w="3330" w:type="dxa"/>
            <w:tcBorders>
              <w:top w:val="nil"/>
              <w:left w:val="nil"/>
              <w:bottom w:val="single" w:sz="8" w:space="0" w:color="auto"/>
              <w:right w:val="single" w:sz="8" w:space="0" w:color="auto"/>
            </w:tcBorders>
            <w:shd w:val="clear" w:color="000000" w:fill="DDD9C3"/>
            <w:vAlign w:val="center"/>
            <w:hideMark/>
          </w:tcPr>
          <w:p w14:paraId="54FE26B8"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0"/>
                <w:szCs w:val="20"/>
              </w:rPr>
            </w:pPr>
            <w:r w:rsidRPr="0068210E">
              <w:rPr>
                <w:rFonts w:ascii="Times New Roman" w:eastAsia="Times New Roman" w:hAnsi="Times New Roman" w:cs="Times New Roman"/>
                <w:b/>
                <w:bCs/>
                <w:color w:val="000000"/>
                <w:sz w:val="20"/>
                <w:szCs w:val="20"/>
              </w:rPr>
              <w:t>(US$)</w:t>
            </w:r>
          </w:p>
        </w:tc>
        <w:tc>
          <w:tcPr>
            <w:tcW w:w="2340" w:type="dxa"/>
            <w:tcBorders>
              <w:top w:val="nil"/>
              <w:left w:val="nil"/>
              <w:bottom w:val="single" w:sz="8" w:space="0" w:color="auto"/>
              <w:right w:val="single" w:sz="8" w:space="0" w:color="auto"/>
            </w:tcBorders>
            <w:shd w:val="clear" w:color="000000" w:fill="DDD9C3"/>
            <w:vAlign w:val="center"/>
            <w:hideMark/>
          </w:tcPr>
          <w:p w14:paraId="3520439A" w14:textId="77777777" w:rsidR="0068210E" w:rsidRPr="0068210E" w:rsidRDefault="0068210E" w:rsidP="0068210E">
            <w:pPr>
              <w:spacing w:after="0" w:line="240" w:lineRule="auto"/>
              <w:jc w:val="center"/>
              <w:rPr>
                <w:rFonts w:ascii="Times New Roman" w:eastAsia="Times New Roman" w:hAnsi="Times New Roman" w:cs="Times New Roman"/>
                <w:b/>
                <w:bCs/>
                <w:color w:val="000000"/>
                <w:sz w:val="20"/>
                <w:szCs w:val="20"/>
              </w:rPr>
            </w:pPr>
            <w:r w:rsidRPr="0068210E">
              <w:rPr>
                <w:rFonts w:ascii="Times New Roman" w:eastAsia="Times New Roman" w:hAnsi="Times New Roman" w:cs="Times New Roman"/>
                <w:b/>
                <w:bCs/>
                <w:color w:val="000000"/>
                <w:sz w:val="20"/>
                <w:szCs w:val="20"/>
              </w:rPr>
              <w:t>(% of annual budget)</w:t>
            </w:r>
          </w:p>
        </w:tc>
      </w:tr>
      <w:tr w:rsidR="0068210E" w:rsidRPr="0068210E" w14:paraId="333745B8" w14:textId="77777777" w:rsidTr="0068210E">
        <w:trPr>
          <w:trHeight w:val="360"/>
        </w:trPr>
        <w:tc>
          <w:tcPr>
            <w:tcW w:w="1087" w:type="dxa"/>
            <w:tcBorders>
              <w:top w:val="nil"/>
              <w:left w:val="single" w:sz="8" w:space="0" w:color="auto"/>
              <w:bottom w:val="single" w:sz="8" w:space="0" w:color="auto"/>
              <w:right w:val="single" w:sz="8" w:space="0" w:color="auto"/>
            </w:tcBorders>
            <w:shd w:val="clear" w:color="auto" w:fill="auto"/>
            <w:noWrap/>
            <w:vAlign w:val="bottom"/>
            <w:hideMark/>
          </w:tcPr>
          <w:p w14:paraId="4DC20C44" w14:textId="77777777" w:rsidR="0068210E" w:rsidRPr="0068210E" w:rsidRDefault="0068210E" w:rsidP="0068210E">
            <w:pPr>
              <w:spacing w:after="0" w:line="240" w:lineRule="auto"/>
              <w:rPr>
                <w:rFonts w:ascii="Calibri" w:eastAsia="Times New Roman" w:hAnsi="Calibri" w:cs="Calibri"/>
                <w:color w:val="000000"/>
              </w:rPr>
            </w:pPr>
            <w:r w:rsidRPr="0068210E">
              <w:rPr>
                <w:rFonts w:ascii="Calibri" w:eastAsia="Times New Roman" w:hAnsi="Calibri" w:cs="Calibri"/>
                <w:color w:val="000000"/>
              </w:rPr>
              <w:t xml:space="preserve">ROL  </w:t>
            </w:r>
          </w:p>
        </w:tc>
        <w:tc>
          <w:tcPr>
            <w:tcW w:w="2593" w:type="dxa"/>
            <w:tcBorders>
              <w:top w:val="nil"/>
              <w:left w:val="nil"/>
              <w:bottom w:val="single" w:sz="8" w:space="0" w:color="auto"/>
              <w:right w:val="single" w:sz="8" w:space="0" w:color="auto"/>
            </w:tcBorders>
            <w:shd w:val="clear" w:color="auto" w:fill="auto"/>
            <w:vAlign w:val="center"/>
            <w:hideMark/>
          </w:tcPr>
          <w:p w14:paraId="285D6126"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966,849.00 </w:t>
            </w:r>
          </w:p>
        </w:tc>
        <w:tc>
          <w:tcPr>
            <w:tcW w:w="3330" w:type="dxa"/>
            <w:tcBorders>
              <w:top w:val="nil"/>
              <w:left w:val="nil"/>
              <w:bottom w:val="single" w:sz="8" w:space="0" w:color="auto"/>
              <w:right w:val="single" w:sz="8" w:space="0" w:color="auto"/>
            </w:tcBorders>
            <w:shd w:val="clear" w:color="000000" w:fill="92D050"/>
            <w:vAlign w:val="center"/>
            <w:hideMark/>
          </w:tcPr>
          <w:p w14:paraId="2164BD7B"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788,331.83 </w:t>
            </w:r>
          </w:p>
        </w:tc>
        <w:tc>
          <w:tcPr>
            <w:tcW w:w="2340" w:type="dxa"/>
            <w:tcBorders>
              <w:top w:val="nil"/>
              <w:left w:val="nil"/>
              <w:bottom w:val="single" w:sz="8" w:space="0" w:color="auto"/>
              <w:right w:val="single" w:sz="8" w:space="0" w:color="auto"/>
            </w:tcBorders>
            <w:shd w:val="clear" w:color="000000" w:fill="92D050"/>
            <w:vAlign w:val="center"/>
            <w:hideMark/>
          </w:tcPr>
          <w:p w14:paraId="30C5E6E2"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82%</w:t>
            </w:r>
          </w:p>
        </w:tc>
      </w:tr>
      <w:tr w:rsidR="0068210E" w:rsidRPr="0068210E" w14:paraId="4082C858" w14:textId="77777777" w:rsidTr="0068210E">
        <w:trPr>
          <w:trHeight w:val="370"/>
        </w:trPr>
        <w:tc>
          <w:tcPr>
            <w:tcW w:w="1087" w:type="dxa"/>
            <w:tcBorders>
              <w:top w:val="nil"/>
              <w:left w:val="single" w:sz="8" w:space="0" w:color="auto"/>
              <w:bottom w:val="single" w:sz="8" w:space="0" w:color="auto"/>
              <w:right w:val="single" w:sz="8" w:space="0" w:color="auto"/>
            </w:tcBorders>
            <w:shd w:val="clear" w:color="auto" w:fill="auto"/>
            <w:noWrap/>
            <w:vAlign w:val="bottom"/>
            <w:hideMark/>
          </w:tcPr>
          <w:p w14:paraId="6A7A609C" w14:textId="77777777" w:rsidR="0068210E" w:rsidRPr="0068210E" w:rsidRDefault="0068210E" w:rsidP="0068210E">
            <w:pPr>
              <w:spacing w:after="0" w:line="240" w:lineRule="auto"/>
              <w:rPr>
                <w:rFonts w:ascii="Calibri" w:eastAsia="Times New Roman" w:hAnsi="Calibri" w:cs="Calibri"/>
                <w:color w:val="000000"/>
              </w:rPr>
            </w:pPr>
            <w:r w:rsidRPr="0068210E">
              <w:rPr>
                <w:rFonts w:ascii="Calibri" w:eastAsia="Times New Roman" w:hAnsi="Calibri" w:cs="Calibri"/>
                <w:color w:val="000000"/>
              </w:rPr>
              <w:t>INL SLCS</w:t>
            </w:r>
          </w:p>
        </w:tc>
        <w:tc>
          <w:tcPr>
            <w:tcW w:w="2593" w:type="dxa"/>
            <w:tcBorders>
              <w:top w:val="nil"/>
              <w:left w:val="nil"/>
              <w:bottom w:val="single" w:sz="8" w:space="0" w:color="auto"/>
              <w:right w:val="single" w:sz="8" w:space="0" w:color="auto"/>
            </w:tcBorders>
            <w:shd w:val="clear" w:color="auto" w:fill="auto"/>
            <w:vAlign w:val="center"/>
            <w:hideMark/>
          </w:tcPr>
          <w:p w14:paraId="73D9266C"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890,621.00 </w:t>
            </w:r>
          </w:p>
        </w:tc>
        <w:tc>
          <w:tcPr>
            <w:tcW w:w="3330" w:type="dxa"/>
            <w:tcBorders>
              <w:top w:val="nil"/>
              <w:left w:val="nil"/>
              <w:bottom w:val="single" w:sz="8" w:space="0" w:color="auto"/>
              <w:right w:val="single" w:sz="8" w:space="0" w:color="auto"/>
            </w:tcBorders>
            <w:shd w:val="clear" w:color="000000" w:fill="92D050"/>
            <w:vAlign w:val="center"/>
            <w:hideMark/>
          </w:tcPr>
          <w:p w14:paraId="6CA3F0B2"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827,996.15 </w:t>
            </w:r>
          </w:p>
        </w:tc>
        <w:tc>
          <w:tcPr>
            <w:tcW w:w="2340" w:type="dxa"/>
            <w:tcBorders>
              <w:top w:val="nil"/>
              <w:left w:val="nil"/>
              <w:bottom w:val="single" w:sz="8" w:space="0" w:color="auto"/>
              <w:right w:val="single" w:sz="8" w:space="0" w:color="auto"/>
            </w:tcBorders>
            <w:shd w:val="clear" w:color="000000" w:fill="92D050"/>
            <w:vAlign w:val="center"/>
            <w:hideMark/>
          </w:tcPr>
          <w:p w14:paraId="6855D96B"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93%</w:t>
            </w:r>
          </w:p>
        </w:tc>
      </w:tr>
      <w:tr w:rsidR="0068210E" w:rsidRPr="0068210E" w14:paraId="5FF21F9E" w14:textId="77777777" w:rsidTr="0068210E">
        <w:trPr>
          <w:trHeight w:val="330"/>
        </w:trPr>
        <w:tc>
          <w:tcPr>
            <w:tcW w:w="1087" w:type="dxa"/>
            <w:tcBorders>
              <w:top w:val="nil"/>
              <w:left w:val="single" w:sz="8" w:space="0" w:color="auto"/>
              <w:bottom w:val="single" w:sz="8" w:space="0" w:color="auto"/>
              <w:right w:val="single" w:sz="8" w:space="0" w:color="auto"/>
            </w:tcBorders>
            <w:shd w:val="clear" w:color="auto" w:fill="auto"/>
            <w:noWrap/>
            <w:vAlign w:val="bottom"/>
            <w:hideMark/>
          </w:tcPr>
          <w:p w14:paraId="744CB613" w14:textId="77777777" w:rsidR="0068210E" w:rsidRPr="0068210E" w:rsidRDefault="0068210E" w:rsidP="0068210E">
            <w:pPr>
              <w:spacing w:after="0" w:line="240" w:lineRule="auto"/>
              <w:rPr>
                <w:rFonts w:ascii="Calibri" w:eastAsia="Times New Roman" w:hAnsi="Calibri" w:cs="Calibri"/>
                <w:color w:val="000000"/>
              </w:rPr>
            </w:pPr>
            <w:r w:rsidRPr="0068210E">
              <w:rPr>
                <w:rFonts w:ascii="Calibri" w:eastAsia="Times New Roman" w:hAnsi="Calibri" w:cs="Calibri"/>
                <w:color w:val="000000"/>
              </w:rPr>
              <w:t>HRCSL</w:t>
            </w:r>
          </w:p>
        </w:tc>
        <w:tc>
          <w:tcPr>
            <w:tcW w:w="2593" w:type="dxa"/>
            <w:tcBorders>
              <w:top w:val="nil"/>
              <w:left w:val="nil"/>
              <w:bottom w:val="single" w:sz="8" w:space="0" w:color="auto"/>
              <w:right w:val="single" w:sz="8" w:space="0" w:color="auto"/>
            </w:tcBorders>
            <w:shd w:val="clear" w:color="auto" w:fill="auto"/>
            <w:vAlign w:val="center"/>
            <w:hideMark/>
          </w:tcPr>
          <w:p w14:paraId="3DF1FC80"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90,416.00 </w:t>
            </w:r>
          </w:p>
        </w:tc>
        <w:tc>
          <w:tcPr>
            <w:tcW w:w="3330" w:type="dxa"/>
            <w:tcBorders>
              <w:top w:val="nil"/>
              <w:left w:val="nil"/>
              <w:bottom w:val="single" w:sz="8" w:space="0" w:color="auto"/>
              <w:right w:val="single" w:sz="8" w:space="0" w:color="auto"/>
            </w:tcBorders>
            <w:shd w:val="clear" w:color="000000" w:fill="92D050"/>
            <w:vAlign w:val="center"/>
            <w:hideMark/>
          </w:tcPr>
          <w:p w14:paraId="07708F3F"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 xml:space="preserve">                  90,484.12 </w:t>
            </w:r>
          </w:p>
        </w:tc>
        <w:tc>
          <w:tcPr>
            <w:tcW w:w="2340" w:type="dxa"/>
            <w:tcBorders>
              <w:top w:val="nil"/>
              <w:left w:val="nil"/>
              <w:bottom w:val="single" w:sz="8" w:space="0" w:color="auto"/>
              <w:right w:val="single" w:sz="8" w:space="0" w:color="auto"/>
            </w:tcBorders>
            <w:shd w:val="clear" w:color="000000" w:fill="92D050"/>
            <w:vAlign w:val="center"/>
            <w:hideMark/>
          </w:tcPr>
          <w:p w14:paraId="04342813" w14:textId="77777777" w:rsidR="0068210E" w:rsidRPr="0068210E" w:rsidRDefault="0068210E" w:rsidP="0068210E">
            <w:pPr>
              <w:spacing w:after="0" w:line="240" w:lineRule="auto"/>
              <w:jc w:val="right"/>
              <w:rPr>
                <w:rFonts w:ascii="Times New Roman" w:eastAsia="Times New Roman" w:hAnsi="Times New Roman" w:cs="Times New Roman"/>
                <w:color w:val="000000"/>
                <w:sz w:val="20"/>
                <w:szCs w:val="20"/>
              </w:rPr>
            </w:pPr>
            <w:r w:rsidRPr="0068210E">
              <w:rPr>
                <w:rFonts w:ascii="Times New Roman" w:eastAsia="Times New Roman" w:hAnsi="Times New Roman" w:cs="Times New Roman"/>
                <w:color w:val="000000"/>
                <w:sz w:val="20"/>
                <w:szCs w:val="20"/>
              </w:rPr>
              <w:t>100%</w:t>
            </w:r>
          </w:p>
        </w:tc>
      </w:tr>
    </w:tbl>
    <w:p w14:paraId="76EE06E7" w14:textId="77777777" w:rsidR="00F41179" w:rsidRDefault="00F41179" w:rsidP="00F41179">
      <w:pPr>
        <w:pStyle w:val="ListParagraph"/>
        <w:ind w:left="284"/>
      </w:pPr>
    </w:p>
    <w:p w14:paraId="248BC3A8" w14:textId="77777777" w:rsidR="00F41179" w:rsidRDefault="00F41179" w:rsidP="00F41179">
      <w:pPr>
        <w:pStyle w:val="ListParagraph"/>
        <w:ind w:left="284"/>
      </w:pPr>
    </w:p>
    <w:tbl>
      <w:tblPr>
        <w:tblStyle w:val="TableGrid"/>
        <w:tblW w:w="0" w:type="auto"/>
        <w:tblInd w:w="265" w:type="dxa"/>
        <w:tblLook w:val="04A0" w:firstRow="1" w:lastRow="0" w:firstColumn="1" w:lastColumn="0" w:noHBand="0" w:noVBand="1"/>
      </w:tblPr>
      <w:tblGrid>
        <w:gridCol w:w="2260"/>
        <w:gridCol w:w="2290"/>
        <w:gridCol w:w="2246"/>
        <w:gridCol w:w="2289"/>
      </w:tblGrid>
      <w:tr w:rsidR="00F41179" w14:paraId="70433497" w14:textId="77777777" w:rsidTr="00ED4ADE">
        <w:tc>
          <w:tcPr>
            <w:tcW w:w="2260" w:type="dxa"/>
            <w:shd w:val="clear" w:color="auto" w:fill="DDD9C3" w:themeFill="background2" w:themeFillShade="E6"/>
            <w:vAlign w:val="center"/>
          </w:tcPr>
          <w:p w14:paraId="20DDC1B3" w14:textId="77777777" w:rsidR="00F41179" w:rsidRPr="005C7E55" w:rsidRDefault="00F41179" w:rsidP="00F41179">
            <w:pPr>
              <w:pStyle w:val="ListParagraph"/>
              <w:ind w:left="0"/>
              <w:jc w:val="center"/>
              <w:rPr>
                <w:b/>
                <w:bCs/>
                <w:sz w:val="28"/>
                <w:szCs w:val="28"/>
              </w:rPr>
            </w:pPr>
            <w:r w:rsidRPr="005C7E55">
              <w:rPr>
                <w:b/>
                <w:bCs/>
                <w:sz w:val="28"/>
                <w:szCs w:val="28"/>
              </w:rPr>
              <w:lastRenderedPageBreak/>
              <w:t>Project Budget</w:t>
            </w:r>
          </w:p>
          <w:p w14:paraId="765CB64F" w14:textId="77777777" w:rsidR="00F41179" w:rsidRPr="005C7E55" w:rsidRDefault="00F41179" w:rsidP="00F41179">
            <w:pPr>
              <w:pStyle w:val="ListParagraph"/>
              <w:ind w:left="0"/>
              <w:jc w:val="center"/>
              <w:rPr>
                <w:b/>
                <w:bCs/>
                <w:sz w:val="28"/>
                <w:szCs w:val="28"/>
              </w:rPr>
            </w:pPr>
            <w:r w:rsidRPr="009C7DF1">
              <w:rPr>
                <w:b/>
                <w:bCs/>
              </w:rPr>
              <w:t>(US$)</w:t>
            </w:r>
          </w:p>
        </w:tc>
        <w:tc>
          <w:tcPr>
            <w:tcW w:w="2290" w:type="dxa"/>
            <w:shd w:val="clear" w:color="auto" w:fill="DDD9C3" w:themeFill="background2" w:themeFillShade="E6"/>
            <w:vAlign w:val="center"/>
          </w:tcPr>
          <w:p w14:paraId="5DCADD13" w14:textId="77777777" w:rsidR="00F41179" w:rsidRDefault="00F41179" w:rsidP="00F41179">
            <w:pPr>
              <w:pStyle w:val="ListParagraph"/>
              <w:ind w:left="0"/>
              <w:jc w:val="center"/>
              <w:rPr>
                <w:b/>
                <w:bCs/>
                <w:sz w:val="28"/>
                <w:szCs w:val="28"/>
              </w:rPr>
            </w:pPr>
            <w:r>
              <w:rPr>
                <w:b/>
                <w:bCs/>
                <w:sz w:val="28"/>
                <w:szCs w:val="28"/>
              </w:rPr>
              <w:t>Total Project expenses</w:t>
            </w:r>
          </w:p>
          <w:p w14:paraId="4A8FFCCA" w14:textId="77777777" w:rsidR="00F41179" w:rsidRPr="005C7E55" w:rsidRDefault="00F41179" w:rsidP="00F41179">
            <w:pPr>
              <w:pStyle w:val="ListParagraph"/>
              <w:ind w:left="0"/>
              <w:jc w:val="center"/>
              <w:rPr>
                <w:b/>
                <w:bCs/>
                <w:sz w:val="28"/>
                <w:szCs w:val="28"/>
              </w:rPr>
            </w:pPr>
            <w:r w:rsidRPr="009C7DF1">
              <w:rPr>
                <w:b/>
                <w:bCs/>
              </w:rPr>
              <w:t>(US$)</w:t>
            </w:r>
          </w:p>
        </w:tc>
        <w:tc>
          <w:tcPr>
            <w:tcW w:w="2246" w:type="dxa"/>
            <w:shd w:val="clear" w:color="auto" w:fill="DDD9C3" w:themeFill="background2" w:themeFillShade="E6"/>
            <w:vAlign w:val="center"/>
          </w:tcPr>
          <w:p w14:paraId="10E1B7E3" w14:textId="77777777" w:rsidR="00F41179" w:rsidRDefault="00F41179" w:rsidP="00F41179">
            <w:pPr>
              <w:pStyle w:val="ListParagraph"/>
              <w:ind w:left="0"/>
              <w:jc w:val="center"/>
              <w:rPr>
                <w:b/>
                <w:bCs/>
                <w:sz w:val="28"/>
                <w:szCs w:val="28"/>
              </w:rPr>
            </w:pPr>
            <w:r>
              <w:rPr>
                <w:b/>
                <w:bCs/>
                <w:sz w:val="28"/>
                <w:szCs w:val="28"/>
              </w:rPr>
              <w:t xml:space="preserve">Project </w:t>
            </w:r>
            <w:r w:rsidRPr="005C7E55">
              <w:rPr>
                <w:b/>
                <w:bCs/>
                <w:sz w:val="28"/>
                <w:szCs w:val="28"/>
              </w:rPr>
              <w:t>Balance</w:t>
            </w:r>
          </w:p>
          <w:p w14:paraId="3E584586" w14:textId="77777777" w:rsidR="00F41179" w:rsidRPr="005C7E55" w:rsidRDefault="00F41179" w:rsidP="00F41179">
            <w:pPr>
              <w:pStyle w:val="ListParagraph"/>
              <w:ind w:left="0"/>
              <w:jc w:val="center"/>
              <w:rPr>
                <w:b/>
                <w:bCs/>
                <w:sz w:val="28"/>
                <w:szCs w:val="28"/>
              </w:rPr>
            </w:pPr>
            <w:r w:rsidRPr="009C7DF1">
              <w:rPr>
                <w:b/>
                <w:bCs/>
              </w:rPr>
              <w:t>(US$)</w:t>
            </w:r>
          </w:p>
        </w:tc>
        <w:tc>
          <w:tcPr>
            <w:tcW w:w="2289" w:type="dxa"/>
            <w:shd w:val="clear" w:color="auto" w:fill="DDD9C3" w:themeFill="background2" w:themeFillShade="E6"/>
            <w:vAlign w:val="center"/>
          </w:tcPr>
          <w:p w14:paraId="5B6FF926" w14:textId="77777777" w:rsidR="00F41179" w:rsidRDefault="00F41179" w:rsidP="00F41179">
            <w:pPr>
              <w:pStyle w:val="ListParagraph"/>
              <w:ind w:left="0"/>
              <w:jc w:val="center"/>
              <w:rPr>
                <w:b/>
                <w:bCs/>
                <w:sz w:val="28"/>
                <w:szCs w:val="28"/>
              </w:rPr>
            </w:pPr>
            <w:r>
              <w:rPr>
                <w:b/>
                <w:bCs/>
                <w:sz w:val="28"/>
                <w:szCs w:val="28"/>
              </w:rPr>
              <w:t>Total expenses</w:t>
            </w:r>
          </w:p>
          <w:p w14:paraId="71B60DFA" w14:textId="77777777" w:rsidR="00F41179" w:rsidRPr="005C7E55" w:rsidRDefault="00F41179" w:rsidP="00F41179">
            <w:pPr>
              <w:pStyle w:val="ListParagraph"/>
              <w:ind w:left="0"/>
              <w:jc w:val="center"/>
              <w:rPr>
                <w:b/>
                <w:bCs/>
                <w:sz w:val="28"/>
                <w:szCs w:val="28"/>
              </w:rPr>
            </w:pPr>
            <w:r>
              <w:rPr>
                <w:b/>
                <w:bCs/>
              </w:rPr>
              <w:t>(% of total</w:t>
            </w:r>
            <w:r w:rsidRPr="009C7DF1">
              <w:rPr>
                <w:b/>
                <w:bCs/>
              </w:rPr>
              <w:t xml:space="preserve"> budget)</w:t>
            </w:r>
          </w:p>
        </w:tc>
      </w:tr>
      <w:tr w:rsidR="00F41179" w14:paraId="1092140F" w14:textId="77777777" w:rsidTr="00F634B5">
        <w:tc>
          <w:tcPr>
            <w:tcW w:w="2260" w:type="dxa"/>
          </w:tcPr>
          <w:p w14:paraId="5D457FF6" w14:textId="025745B3" w:rsidR="00F41179" w:rsidRPr="00ED4ADE" w:rsidRDefault="001261C1" w:rsidP="001261C1">
            <w:pPr>
              <w:pStyle w:val="ListParagraph"/>
              <w:ind w:left="0"/>
              <w:jc w:val="right"/>
            </w:pPr>
            <w:r>
              <w:t>1,947,886.00</w:t>
            </w:r>
          </w:p>
        </w:tc>
        <w:tc>
          <w:tcPr>
            <w:tcW w:w="2290" w:type="dxa"/>
            <w:shd w:val="clear" w:color="auto" w:fill="92D050"/>
          </w:tcPr>
          <w:p w14:paraId="4E4AEAFD" w14:textId="4E929FD4" w:rsidR="00F41179" w:rsidRPr="00ED4ADE" w:rsidRDefault="001261C1" w:rsidP="001261C1">
            <w:pPr>
              <w:pStyle w:val="ListParagraph"/>
              <w:ind w:left="0"/>
              <w:jc w:val="right"/>
            </w:pPr>
            <w:r>
              <w:t>1,</w:t>
            </w:r>
            <w:r w:rsidR="00B00A29">
              <w:t>706</w:t>
            </w:r>
            <w:r>
              <w:t>,</w:t>
            </w:r>
            <w:r w:rsidR="00B00A29">
              <w:t>812</w:t>
            </w:r>
            <w:r>
              <w:t>.</w:t>
            </w:r>
            <w:r w:rsidR="00B00A29">
              <w:t>1</w:t>
            </w:r>
            <w:r>
              <w:t>0</w:t>
            </w:r>
          </w:p>
        </w:tc>
        <w:tc>
          <w:tcPr>
            <w:tcW w:w="2246" w:type="dxa"/>
            <w:shd w:val="clear" w:color="auto" w:fill="92D050"/>
          </w:tcPr>
          <w:p w14:paraId="2B25D7F5" w14:textId="3BDE1795" w:rsidR="00F41179" w:rsidRPr="00ED4ADE" w:rsidRDefault="00ED4ADE" w:rsidP="001261C1">
            <w:pPr>
              <w:pStyle w:val="ListParagraph"/>
              <w:ind w:left="0"/>
              <w:jc w:val="right"/>
            </w:pPr>
            <w:r w:rsidRPr="00ED4ADE">
              <w:rPr>
                <w:rFonts w:ascii="Times New Roman" w:hAnsi="Times New Roman" w:cs="Times New Roman"/>
                <w:color w:val="000000"/>
                <w:sz w:val="20"/>
                <w:szCs w:val="20"/>
              </w:rPr>
              <w:t>             </w:t>
            </w:r>
            <w:r w:rsidR="00B00A29">
              <w:rPr>
                <w:rFonts w:ascii="Times New Roman" w:hAnsi="Times New Roman" w:cs="Times New Roman"/>
                <w:color w:val="000000"/>
                <w:sz w:val="20"/>
                <w:szCs w:val="20"/>
              </w:rPr>
              <w:t>241,073.90</w:t>
            </w:r>
          </w:p>
        </w:tc>
        <w:tc>
          <w:tcPr>
            <w:tcW w:w="2289" w:type="dxa"/>
            <w:shd w:val="clear" w:color="auto" w:fill="92D050"/>
          </w:tcPr>
          <w:p w14:paraId="65DAA8FE" w14:textId="6E2A8B9F" w:rsidR="00F41179" w:rsidRPr="00ED4ADE" w:rsidRDefault="001261C1" w:rsidP="001261C1">
            <w:pPr>
              <w:pStyle w:val="ListParagraph"/>
              <w:ind w:left="0"/>
              <w:jc w:val="right"/>
            </w:pPr>
            <w:r>
              <w:rPr>
                <w:rFonts w:ascii="Times New Roman" w:hAnsi="Times New Roman" w:cs="Times New Roman"/>
                <w:color w:val="000000"/>
                <w:sz w:val="20"/>
                <w:szCs w:val="20"/>
              </w:rPr>
              <w:t>8</w:t>
            </w:r>
            <w:r w:rsidR="00B00A29">
              <w:rPr>
                <w:rFonts w:ascii="Times New Roman" w:hAnsi="Times New Roman" w:cs="Times New Roman"/>
                <w:color w:val="000000"/>
                <w:sz w:val="20"/>
                <w:szCs w:val="20"/>
              </w:rPr>
              <w:t>8</w:t>
            </w:r>
            <w:r w:rsidR="00ED4ADE" w:rsidRPr="00ED4ADE">
              <w:rPr>
                <w:rFonts w:ascii="Times New Roman" w:hAnsi="Times New Roman" w:cs="Times New Roman"/>
                <w:color w:val="000000"/>
                <w:sz w:val="20"/>
                <w:szCs w:val="20"/>
              </w:rPr>
              <w:t>%</w:t>
            </w:r>
          </w:p>
        </w:tc>
      </w:tr>
    </w:tbl>
    <w:p w14:paraId="4F18399F" w14:textId="77777777" w:rsidR="00BA7772" w:rsidRDefault="00BA7772" w:rsidP="00BA7772">
      <w:pPr>
        <w:pStyle w:val="Heading1"/>
        <w:numPr>
          <w:ilvl w:val="0"/>
          <w:numId w:val="0"/>
        </w:numPr>
        <w:sectPr w:rsidR="00BA7772" w:rsidSect="007C66D5">
          <w:pgSz w:w="12240" w:h="15840"/>
          <w:pgMar w:top="1440" w:right="1440" w:bottom="426" w:left="1440" w:header="720" w:footer="720" w:gutter="0"/>
          <w:cols w:space="720"/>
          <w:docGrid w:linePitch="360"/>
        </w:sectPr>
      </w:pPr>
    </w:p>
    <w:p w14:paraId="6F676F1C" w14:textId="77777777" w:rsidR="00F8310E" w:rsidRPr="00040E98" w:rsidRDefault="00A37A85" w:rsidP="00D976EB">
      <w:pPr>
        <w:pStyle w:val="Heading1"/>
        <w:spacing w:before="0"/>
      </w:pPr>
      <w:bookmarkStart w:id="3" w:name="_Toc503736515"/>
      <w:bookmarkStart w:id="4" w:name="_Hlk503517769"/>
      <w:r w:rsidRPr="009924BE">
        <w:lastRenderedPageBreak/>
        <w:t>Executive Summary</w:t>
      </w:r>
      <w:bookmarkStart w:id="5" w:name="_Toc364027459"/>
      <w:bookmarkEnd w:id="2"/>
      <w:bookmarkEnd w:id="3"/>
    </w:p>
    <w:p w14:paraId="6E1E8A04" w14:textId="77777777" w:rsidR="00C24928" w:rsidRPr="00E46379" w:rsidRDefault="00C24928" w:rsidP="00C24928">
      <w:pPr>
        <w:jc w:val="both"/>
        <w:rPr>
          <w:rFonts w:cstheme="minorHAnsi"/>
        </w:rPr>
      </w:pPr>
      <w:bookmarkStart w:id="6" w:name="_Hlk499150383"/>
      <w:bookmarkStart w:id="7" w:name="_Hlk503517632"/>
      <w:bookmarkEnd w:id="4"/>
      <w:bookmarkEnd w:id="5"/>
      <w:r w:rsidRPr="00E46379">
        <w:rPr>
          <w:rFonts w:cstheme="minorHAnsi"/>
        </w:rPr>
        <w:t>Th</w:t>
      </w:r>
      <w:r w:rsidR="00021151">
        <w:rPr>
          <w:rFonts w:cstheme="minorHAnsi"/>
        </w:rPr>
        <w:t xml:space="preserve">e rule of law projects </w:t>
      </w:r>
      <w:r w:rsidR="00587B7B" w:rsidRPr="00E46379">
        <w:rPr>
          <w:rFonts w:cstheme="minorHAnsi"/>
        </w:rPr>
        <w:t xml:space="preserve">interventions </w:t>
      </w:r>
      <w:r w:rsidRPr="00E46379">
        <w:rPr>
          <w:rFonts w:cstheme="minorHAnsi"/>
        </w:rPr>
        <w:t>seeks to strengthen rule of law, access to justice and security delivery in Sierra Leone in compliance with international human rights standards. It builds on the lessons learnt from UNDP’s Access to Justice</w:t>
      </w:r>
      <w:r w:rsidR="00ED4ADE">
        <w:rPr>
          <w:rFonts w:cstheme="minorHAnsi"/>
        </w:rPr>
        <w:t xml:space="preserve"> and Security Sector Reform </w:t>
      </w:r>
      <w:r w:rsidRPr="00E46379">
        <w:rPr>
          <w:rFonts w:cstheme="minorHAnsi"/>
        </w:rPr>
        <w:t>projects and years of UN and development partners’ support to justice and security delivery. The project establishes shared priorities with an aim of contributing to the maintenance of peace and stability and to strengthen the rule of law, access to justice, accountability and transparency</w:t>
      </w:r>
      <w:r w:rsidR="00E46379" w:rsidRPr="00E46379">
        <w:rPr>
          <w:rFonts w:cstheme="minorHAnsi"/>
        </w:rPr>
        <w:t xml:space="preserve"> while ensuring </w:t>
      </w:r>
      <w:r w:rsidRPr="00E46379">
        <w:rPr>
          <w:rFonts w:cstheme="minorHAnsi"/>
        </w:rPr>
        <w:t>equal access to justice for all</w:t>
      </w:r>
      <w:r w:rsidR="00E46379" w:rsidRPr="00E46379">
        <w:rPr>
          <w:rFonts w:cstheme="minorHAnsi"/>
        </w:rPr>
        <w:t>. T</w:t>
      </w:r>
      <w:r w:rsidRPr="00E46379">
        <w:rPr>
          <w:rFonts w:cstheme="minorHAnsi"/>
        </w:rPr>
        <w:t xml:space="preserve">he project </w:t>
      </w:r>
      <w:r w:rsidR="009F3889">
        <w:rPr>
          <w:rFonts w:cstheme="minorHAnsi"/>
        </w:rPr>
        <w:t xml:space="preserve">strives to </w:t>
      </w:r>
      <w:r w:rsidRPr="00E46379">
        <w:rPr>
          <w:rFonts w:cstheme="minorHAnsi"/>
        </w:rPr>
        <w:t>address gaps in the justice sector chain</w:t>
      </w:r>
      <w:r w:rsidR="009F3889">
        <w:rPr>
          <w:rFonts w:cstheme="minorHAnsi"/>
        </w:rPr>
        <w:t>,</w:t>
      </w:r>
      <w:r w:rsidRPr="00E46379">
        <w:rPr>
          <w:rFonts w:cstheme="minorHAnsi"/>
        </w:rPr>
        <w:t xml:space="preserve"> build</w:t>
      </w:r>
      <w:r w:rsidR="00E46379" w:rsidRPr="00E46379">
        <w:rPr>
          <w:rFonts w:cstheme="minorHAnsi"/>
        </w:rPr>
        <w:t>s</w:t>
      </w:r>
      <w:r w:rsidRPr="00E46379">
        <w:rPr>
          <w:rFonts w:cstheme="minorHAnsi"/>
        </w:rPr>
        <w:t xml:space="preserve"> on achievements under the two thematic projects “Promoting Transparency in Sierra Leone’s Judiciary” </w:t>
      </w:r>
      <w:r w:rsidR="009F3889">
        <w:rPr>
          <w:rFonts w:cstheme="minorHAnsi"/>
        </w:rPr>
        <w:t xml:space="preserve">concluded in 2017 </w:t>
      </w:r>
      <w:r w:rsidRPr="00E46379">
        <w:rPr>
          <w:rFonts w:cstheme="minorHAnsi"/>
        </w:rPr>
        <w:t>and “From Prisons to Corrections: Promoting Institutional Reforms of the Sierra Leone Correctional Service”</w:t>
      </w:r>
      <w:r w:rsidR="009F3889">
        <w:rPr>
          <w:rFonts w:cstheme="minorHAnsi"/>
        </w:rPr>
        <w:t xml:space="preserve">. These thematic projects which form part of rule of law engagements in Sierra Leone are focused on enhancing the legislative and institutional framework of </w:t>
      </w:r>
      <w:r w:rsidRPr="00E46379">
        <w:rPr>
          <w:rFonts w:cstheme="minorHAnsi"/>
        </w:rPr>
        <w:t xml:space="preserve">reforms.  </w:t>
      </w:r>
    </w:p>
    <w:bookmarkEnd w:id="6"/>
    <w:p w14:paraId="24A1BD9B" w14:textId="77777777" w:rsidR="00C24928" w:rsidRPr="00E46379" w:rsidRDefault="00E46379" w:rsidP="00C24928">
      <w:pPr>
        <w:spacing w:after="0"/>
        <w:jc w:val="both"/>
        <w:rPr>
          <w:rFonts w:cstheme="minorHAnsi"/>
        </w:rPr>
      </w:pPr>
      <w:r w:rsidRPr="00E46379">
        <w:rPr>
          <w:rFonts w:cstheme="minorHAnsi"/>
        </w:rPr>
        <w:t xml:space="preserve">Three </w:t>
      </w:r>
      <w:r w:rsidR="00C24928" w:rsidRPr="00E46379">
        <w:rPr>
          <w:rFonts w:cstheme="minorHAnsi"/>
        </w:rPr>
        <w:t xml:space="preserve">key outputs underpin the development and implementation of the rule of law programming </w:t>
      </w:r>
      <w:r w:rsidR="009F3889">
        <w:rPr>
          <w:rFonts w:cstheme="minorHAnsi"/>
        </w:rPr>
        <w:t xml:space="preserve">in the country, </w:t>
      </w:r>
      <w:r w:rsidR="00C24928" w:rsidRPr="00E46379">
        <w:rPr>
          <w:rFonts w:cstheme="minorHAnsi"/>
        </w:rPr>
        <w:t xml:space="preserve">namely: </w:t>
      </w:r>
    </w:p>
    <w:p w14:paraId="6BF3AA6A" w14:textId="77777777" w:rsidR="00C24928" w:rsidRPr="00E46379" w:rsidRDefault="00C24928" w:rsidP="00C24928">
      <w:pPr>
        <w:pStyle w:val="ListParagraph"/>
        <w:numPr>
          <w:ilvl w:val="0"/>
          <w:numId w:val="17"/>
        </w:numPr>
        <w:spacing w:after="0" w:line="240" w:lineRule="auto"/>
        <w:contextualSpacing w:val="0"/>
        <w:jc w:val="both"/>
        <w:rPr>
          <w:rFonts w:cstheme="minorHAnsi"/>
        </w:rPr>
      </w:pPr>
      <w:bookmarkStart w:id="8" w:name="_Hlk499149543"/>
      <w:r w:rsidRPr="00E46379">
        <w:rPr>
          <w:rFonts w:cstheme="minorHAnsi"/>
        </w:rPr>
        <w:t>Justice and security sector coordination and data management enhanced for inclusive, accountable and evidence-based policy and law making;</w:t>
      </w:r>
    </w:p>
    <w:bookmarkEnd w:id="8"/>
    <w:p w14:paraId="7DDD8CCE" w14:textId="77777777" w:rsidR="00C24928" w:rsidRPr="00E46379" w:rsidRDefault="00C24928" w:rsidP="00C24928">
      <w:pPr>
        <w:pStyle w:val="ListParagraph"/>
        <w:numPr>
          <w:ilvl w:val="0"/>
          <w:numId w:val="17"/>
        </w:numPr>
        <w:spacing w:after="60" w:line="240" w:lineRule="auto"/>
        <w:contextualSpacing w:val="0"/>
        <w:jc w:val="both"/>
        <w:rPr>
          <w:rFonts w:cstheme="minorHAnsi"/>
        </w:rPr>
      </w:pPr>
      <w:r w:rsidRPr="00E46379">
        <w:rPr>
          <w:rFonts w:cstheme="minorHAnsi"/>
        </w:rPr>
        <w:t xml:space="preserve">Improved access to justice for rights holders especially for women and vulnerable groups; </w:t>
      </w:r>
    </w:p>
    <w:p w14:paraId="376FB50B" w14:textId="77777777" w:rsidR="00C24928" w:rsidRPr="00E46379" w:rsidRDefault="00C24928" w:rsidP="00C24928">
      <w:pPr>
        <w:pStyle w:val="ListParagraph"/>
        <w:numPr>
          <w:ilvl w:val="0"/>
          <w:numId w:val="17"/>
        </w:numPr>
        <w:spacing w:after="60" w:line="240" w:lineRule="auto"/>
        <w:contextualSpacing w:val="0"/>
        <w:jc w:val="both"/>
        <w:rPr>
          <w:rFonts w:cstheme="minorHAnsi"/>
        </w:rPr>
      </w:pPr>
      <w:r w:rsidRPr="00E46379">
        <w:rPr>
          <w:rFonts w:cstheme="minorHAnsi"/>
        </w:rPr>
        <w:t>Strengthened justice and security sector institutions to deliver effective justice and security services closer to the people and in compliance with human rights standards.</w:t>
      </w:r>
    </w:p>
    <w:p w14:paraId="53814ABA" w14:textId="77777777" w:rsidR="002E61AB" w:rsidRPr="00E46379" w:rsidRDefault="002E61AB" w:rsidP="002E61AB">
      <w:pPr>
        <w:pStyle w:val="ListParagraph"/>
        <w:spacing w:after="60" w:line="240" w:lineRule="auto"/>
        <w:contextualSpacing w:val="0"/>
        <w:jc w:val="both"/>
        <w:rPr>
          <w:rFonts w:cstheme="minorHAnsi"/>
        </w:rPr>
      </w:pPr>
    </w:p>
    <w:p w14:paraId="221C9258" w14:textId="282F68BD" w:rsidR="00236C09" w:rsidRDefault="00F010AF" w:rsidP="00670003">
      <w:pPr>
        <w:jc w:val="both"/>
        <w:rPr>
          <w:rFonts w:cstheme="minorHAnsi"/>
        </w:rPr>
      </w:pPr>
      <w:bookmarkStart w:id="9" w:name="_Hlk535309517"/>
      <w:r>
        <w:rPr>
          <w:rFonts w:cstheme="minorHAnsi"/>
        </w:rPr>
        <w:t>During the second year of the project, the emphasis has been on strengthening institutional ca</w:t>
      </w:r>
      <w:r w:rsidR="00B27C23">
        <w:rPr>
          <w:rFonts w:cstheme="minorHAnsi"/>
        </w:rPr>
        <w:t xml:space="preserve">pacity and continuous development </w:t>
      </w:r>
      <w:r w:rsidR="00DF4326">
        <w:rPr>
          <w:rFonts w:cstheme="minorHAnsi"/>
        </w:rPr>
        <w:t>of institutions’ M&amp;E capacities and their ability to generate data from their work, analyze and use it for informed programming. These interventions have IPs to receive re</w:t>
      </w:r>
      <w:r w:rsidR="007967F8">
        <w:rPr>
          <w:rFonts w:cstheme="minorHAnsi"/>
        </w:rPr>
        <w:t xml:space="preserve">fresher trainings on M&amp;E </w:t>
      </w:r>
      <w:r w:rsidR="009630D1">
        <w:rPr>
          <w:rFonts w:cstheme="minorHAnsi"/>
        </w:rPr>
        <w:t>with the key emphasis on building the culture on monitoring and reporting to track results and challenges therefrom</w:t>
      </w:r>
      <w:r w:rsidR="00E46379" w:rsidRPr="00E46379">
        <w:rPr>
          <w:rFonts w:cstheme="minorHAnsi"/>
        </w:rPr>
        <w:t xml:space="preserve">. </w:t>
      </w:r>
      <w:r w:rsidR="009630D1">
        <w:rPr>
          <w:rFonts w:cstheme="minorHAnsi"/>
        </w:rPr>
        <w:t xml:space="preserve">In relation to capacity development on M&amp;E, UNDP has strived within 2018 to holistically strengthen the functioning of key justice sector institutions through enhancing their case management systems (CMS). For the Ministry of Justice (MOJ), the support was geared toward completing the development of the electronic content management system which, when completed will provide senior management of the MOJ to assign tasks to its large personnel, monitor progress on tasks assigned as well as provide oversight, mentoring and coaching to the entire ministry. The usefulness of this tool cannot be overemphasized as it would position itself as a key component of ensuring efficiency of the ministry vis a vis the workload of this institution within the justice chain. </w:t>
      </w:r>
      <w:r w:rsidR="00670003">
        <w:rPr>
          <w:rFonts w:cstheme="minorHAnsi"/>
        </w:rPr>
        <w:t>The</w:t>
      </w:r>
      <w:r w:rsidR="009630D1">
        <w:rPr>
          <w:rFonts w:cstheme="minorHAnsi"/>
        </w:rPr>
        <w:t xml:space="preserve"> Justice App developed and completed in 2017 is now being progressively rolled out to the provinces</w:t>
      </w:r>
      <w:r w:rsidR="00670003">
        <w:rPr>
          <w:rFonts w:cstheme="minorHAnsi"/>
        </w:rPr>
        <w:t xml:space="preserve"> and is now functional in 6 Freetown High Court (HC) and Magistrate Court (MC), Makeni HC and MC, Bo MC, </w:t>
      </w:r>
      <w:proofErr w:type="spellStart"/>
      <w:r w:rsidR="00670003">
        <w:rPr>
          <w:rFonts w:cstheme="minorHAnsi"/>
        </w:rPr>
        <w:t>Lunsar</w:t>
      </w:r>
      <w:proofErr w:type="spellEnd"/>
      <w:r w:rsidR="00670003">
        <w:rPr>
          <w:rFonts w:cstheme="minorHAnsi"/>
        </w:rPr>
        <w:t xml:space="preserve"> MC, </w:t>
      </w:r>
      <w:proofErr w:type="spellStart"/>
      <w:r w:rsidR="00670003">
        <w:rPr>
          <w:rFonts w:cstheme="minorHAnsi"/>
        </w:rPr>
        <w:t>Bonthe</w:t>
      </w:r>
      <w:proofErr w:type="spellEnd"/>
      <w:r w:rsidR="00670003">
        <w:rPr>
          <w:rFonts w:cstheme="minorHAnsi"/>
        </w:rPr>
        <w:t xml:space="preserve"> MC and Kabala MC</w:t>
      </w:r>
      <w:r w:rsidR="00670003">
        <w:rPr>
          <w:rStyle w:val="FootnoteReference"/>
        </w:rPr>
        <w:t>.</w:t>
      </w:r>
      <w:r w:rsidR="00670003">
        <w:t xml:space="preserve">. </w:t>
      </w:r>
      <w:r w:rsidR="009630D1">
        <w:rPr>
          <w:rFonts w:cstheme="minorHAnsi"/>
        </w:rPr>
        <w:t xml:space="preserve">While challenges remain in ensuring that this tool plays the central role in delivering justice, the need has been felt to expand the Justice App within the justice chain targeting the </w:t>
      </w:r>
      <w:r w:rsidR="00236C09">
        <w:rPr>
          <w:rFonts w:cstheme="minorHAnsi"/>
        </w:rPr>
        <w:t xml:space="preserve">Director of Public Prosecutor’s (DPP) Office as well as the Sierra Leone Correctional Service (SLCS) which manages a significant population of inmates across its 19 correctional facilities. </w:t>
      </w:r>
    </w:p>
    <w:p w14:paraId="3D270C77" w14:textId="79323522" w:rsidR="00DC5213" w:rsidRPr="00E46379" w:rsidRDefault="002261E8" w:rsidP="00C24928">
      <w:pPr>
        <w:jc w:val="both"/>
        <w:rPr>
          <w:rFonts w:cstheme="minorHAnsi"/>
        </w:rPr>
      </w:pPr>
      <w:r>
        <w:rPr>
          <w:rFonts w:cstheme="minorHAnsi"/>
        </w:rPr>
        <w:lastRenderedPageBreak/>
        <w:t>The project has made tremendous progress in</w:t>
      </w:r>
      <w:r w:rsidR="00670003">
        <w:rPr>
          <w:rFonts w:cstheme="minorHAnsi"/>
        </w:rPr>
        <w:t xml:space="preserve"> supporting key institutions in review of existing legislation</w:t>
      </w:r>
      <w:r>
        <w:rPr>
          <w:rFonts w:cstheme="minorHAnsi"/>
        </w:rPr>
        <w:t xml:space="preserve"> </w:t>
      </w:r>
      <w:r w:rsidR="00670003">
        <w:rPr>
          <w:rFonts w:cstheme="minorHAnsi"/>
        </w:rPr>
        <w:t>and develop regulations and improvement of procedural instruments. The</w:t>
      </w:r>
      <w:r>
        <w:rPr>
          <w:rFonts w:cstheme="minorHAnsi"/>
        </w:rPr>
        <w:t xml:space="preserve"> project has concluded the </w:t>
      </w:r>
      <w:r w:rsidR="00236C09">
        <w:rPr>
          <w:rFonts w:cstheme="minorHAnsi"/>
        </w:rPr>
        <w:t>revision of the SLCS Correctional Act of 2014 together w</w:t>
      </w:r>
      <w:r w:rsidR="00DD1120">
        <w:rPr>
          <w:rFonts w:cstheme="minorHAnsi"/>
        </w:rPr>
        <w:t xml:space="preserve">ith the </w:t>
      </w:r>
      <w:r w:rsidR="00670003">
        <w:rPr>
          <w:rFonts w:cstheme="minorHAnsi"/>
        </w:rPr>
        <w:t xml:space="preserve">Prison </w:t>
      </w:r>
      <w:r>
        <w:rPr>
          <w:rFonts w:cstheme="minorHAnsi"/>
        </w:rPr>
        <w:t xml:space="preserve">Rules of </w:t>
      </w:r>
      <w:r w:rsidR="00DD1120">
        <w:rPr>
          <w:rFonts w:cstheme="minorHAnsi"/>
        </w:rPr>
        <w:t>1961</w:t>
      </w:r>
      <w:r>
        <w:rPr>
          <w:rFonts w:cstheme="minorHAnsi"/>
        </w:rPr>
        <w:t xml:space="preserve">. The </w:t>
      </w:r>
      <w:r w:rsidR="007E129D">
        <w:rPr>
          <w:rFonts w:cstheme="minorHAnsi"/>
        </w:rPr>
        <w:t xml:space="preserve">revised </w:t>
      </w:r>
      <w:r>
        <w:rPr>
          <w:rFonts w:cstheme="minorHAnsi"/>
        </w:rPr>
        <w:t xml:space="preserve">Criminal Procedure Act has </w:t>
      </w:r>
      <w:r w:rsidR="007E129D">
        <w:rPr>
          <w:rFonts w:cstheme="minorHAnsi"/>
        </w:rPr>
        <w:t xml:space="preserve">unfortunately not been passed but is receiving attention from the new government and UNDP will continue to support its journey towards enactment in 2019. </w:t>
      </w:r>
      <w:r w:rsidR="00375910">
        <w:rPr>
          <w:rFonts w:cstheme="minorHAnsi"/>
        </w:rPr>
        <w:t>The Bail Regulations finalized in 2017 are now progressively being rolled out with additional capacity development for justice sector partners undertaken.</w:t>
      </w:r>
      <w:r w:rsidR="00B96A0B" w:rsidRPr="00E46379">
        <w:rPr>
          <w:rFonts w:cstheme="minorHAnsi"/>
        </w:rPr>
        <w:t xml:space="preserve"> </w:t>
      </w:r>
      <w:r w:rsidR="00375910">
        <w:rPr>
          <w:rFonts w:cstheme="minorHAnsi"/>
        </w:rPr>
        <w:t xml:space="preserve">To ensure that the dispensation of legal aid services is synchronized and harmonized, UNDP with support to the Justice Sector Coordination Office (JSCO) in collaboration with the Judiciary, the Legal Aid Board (LAB) and other sector partners embarked on the development of a curriculum to be introduced at the higher level in institutions of learning. These efforts would ensure a uniform approach to the development of the capacities of paralegals in the sector and their certification.  </w:t>
      </w:r>
    </w:p>
    <w:p w14:paraId="1E160A8C" w14:textId="162D4ACC" w:rsidR="00DC5213" w:rsidRPr="00E46379" w:rsidRDefault="00375910" w:rsidP="00DC5213">
      <w:pPr>
        <w:jc w:val="both"/>
        <w:rPr>
          <w:rFonts w:cstheme="minorHAnsi"/>
        </w:rPr>
      </w:pPr>
      <w:r>
        <w:rPr>
          <w:rFonts w:cstheme="minorHAnsi"/>
        </w:rPr>
        <w:t xml:space="preserve">Specifically, under the “From Prisons to Corrections” project, </w:t>
      </w:r>
      <w:r w:rsidR="00DC5213" w:rsidRPr="00E46379">
        <w:rPr>
          <w:rFonts w:cstheme="minorHAnsi"/>
        </w:rPr>
        <w:t>U</w:t>
      </w:r>
      <w:r>
        <w:rPr>
          <w:rFonts w:cstheme="minorHAnsi"/>
        </w:rPr>
        <w:t xml:space="preserve">NDP’s efforts have been geared toward improving the conditions of detention of inmates and strengthening staff capacities to deliver on a professional and ethical manner. </w:t>
      </w:r>
      <w:r w:rsidR="00D0305B">
        <w:rPr>
          <w:rFonts w:cstheme="minorHAnsi"/>
        </w:rPr>
        <w:t>Throughout the year, the project has developed the capacities of</w:t>
      </w:r>
      <w:r w:rsidR="007E129D">
        <w:rPr>
          <w:rFonts w:cstheme="minorHAnsi"/>
        </w:rPr>
        <w:t xml:space="preserve"> </w:t>
      </w:r>
      <w:r w:rsidR="00B87445">
        <w:rPr>
          <w:rFonts w:cstheme="minorHAnsi"/>
        </w:rPr>
        <w:t>30</w:t>
      </w:r>
      <w:r w:rsidR="00D0305B">
        <w:rPr>
          <w:rFonts w:cstheme="minorHAnsi"/>
        </w:rPr>
        <w:t xml:space="preserve"> social workers and councilors to provide counselling services to inmates in need of support. To strengthen the viability of the SLCS, the project has enhanced their entrepreneurship skills with the development of marketing and communications strategies</w:t>
      </w:r>
      <w:r w:rsidR="007E129D">
        <w:rPr>
          <w:rFonts w:cstheme="minorHAnsi"/>
        </w:rPr>
        <w:t xml:space="preserve"> and </w:t>
      </w:r>
      <w:r w:rsidR="007E129D">
        <w:t>73 SLCS Officers have been trained to effectively manage the Industries Programme and also continue training of inmates</w:t>
      </w:r>
      <w:r w:rsidR="00D0305B">
        <w:rPr>
          <w:rFonts w:cstheme="minorHAnsi"/>
        </w:rPr>
        <w:t xml:space="preserve"> that are now being utilized to progressively position the institution in a vantage position for self-sufficiency in relation to the provision of furniture and other needed services for the SLCS</w:t>
      </w:r>
      <w:r w:rsidR="00DC5213" w:rsidRPr="00E46379">
        <w:rPr>
          <w:rFonts w:cstheme="minorHAnsi"/>
        </w:rPr>
        <w:t>.</w:t>
      </w:r>
      <w:r w:rsidR="00D0305B">
        <w:rPr>
          <w:rFonts w:cstheme="minorHAnsi"/>
        </w:rPr>
        <w:t xml:space="preserve"> </w:t>
      </w:r>
      <w:r w:rsidR="00DC5213" w:rsidRPr="00E46379">
        <w:rPr>
          <w:rFonts w:cstheme="minorHAnsi"/>
        </w:rPr>
        <w:t xml:space="preserve"> </w:t>
      </w:r>
    </w:p>
    <w:p w14:paraId="4E9F641E" w14:textId="629B27E2" w:rsidR="00EC10A6" w:rsidRPr="00E46379" w:rsidRDefault="00D35279" w:rsidP="00557DE3">
      <w:pPr>
        <w:spacing w:after="160" w:line="259" w:lineRule="auto"/>
        <w:jc w:val="both"/>
        <w:rPr>
          <w:rFonts w:cstheme="minorHAnsi"/>
        </w:rPr>
      </w:pPr>
      <w:r>
        <w:t xml:space="preserve">The completed Accommodation Master Plan has been presented to the new Ministry of Internal Affairs in 2018. The Master Plan contains vital information on the actual capacity with concrete suggestions on optimizing the capacity of these facilities nationwide. The Accommodation Master Plan was the key document utilized by the SLCS to guide the rehabilitation done across the 8 selected facilities. </w:t>
      </w:r>
      <w:r w:rsidR="00D0305B">
        <w:rPr>
          <w:rFonts w:cstheme="minorHAnsi"/>
        </w:rPr>
        <w:t xml:space="preserve">To improve on the conditions of detention of inmates, the SLCS together with UNDP embarked on the </w:t>
      </w:r>
      <w:r w:rsidR="00DE7F7D">
        <w:rPr>
          <w:rFonts w:cstheme="minorHAnsi"/>
        </w:rPr>
        <w:t xml:space="preserve">refurbishment of selected detention facilities in dire need of support. Eight (8) facilities were selected with support provided to improve on the water and sanitation. Within this support, 9 water towers and washrooms, septic tanks and soak-away were erected. The support contributed to the improved supply of water in the selected facilities. These improvements have benefited over 1,500 inmates across the 8 facilities and contributed to reduce the recurrent outbreaks of communicable diseases in these mostly overcrowded centres. </w:t>
      </w:r>
      <w:r w:rsidR="00656F88">
        <w:rPr>
          <w:rFonts w:cstheme="minorHAnsi"/>
        </w:rPr>
        <w:t xml:space="preserve">The refurbished facilities will contribute to the decongestion of overcrowded facilities with at least 450 inmates to be relocated to newly refurbished centres. </w:t>
      </w:r>
      <w:r w:rsidR="00DE7F7D">
        <w:rPr>
          <w:rFonts w:cstheme="minorHAnsi"/>
        </w:rPr>
        <w:t>There is more to be done in relation to sanitation in the SLCS facilities and UNDP’</w:t>
      </w:r>
      <w:r w:rsidR="00760278">
        <w:rPr>
          <w:rFonts w:cstheme="minorHAnsi"/>
        </w:rPr>
        <w:t xml:space="preserve">s support will continue in this regard in the coming years. </w:t>
      </w:r>
      <w:r w:rsidR="00CD2060" w:rsidRPr="00E46379">
        <w:rPr>
          <w:rFonts w:cstheme="minorHAnsi"/>
        </w:rPr>
        <w:t xml:space="preserve"> </w:t>
      </w:r>
    </w:p>
    <w:p w14:paraId="53D0A2C5" w14:textId="77777777" w:rsidR="00491103" w:rsidRDefault="00CD2060" w:rsidP="00BA7772">
      <w:pPr>
        <w:spacing w:after="160" w:line="259" w:lineRule="auto"/>
        <w:jc w:val="both"/>
        <w:rPr>
          <w:rFonts w:cstheme="minorHAnsi"/>
        </w:rPr>
      </w:pPr>
      <w:r w:rsidRPr="00E46379">
        <w:rPr>
          <w:rFonts w:cstheme="minorHAnsi"/>
        </w:rPr>
        <w:t>T</w:t>
      </w:r>
      <w:r w:rsidR="00760278">
        <w:rPr>
          <w:rFonts w:cstheme="minorHAnsi"/>
        </w:rPr>
        <w:t xml:space="preserve">o </w:t>
      </w:r>
      <w:r w:rsidR="002A14BF">
        <w:rPr>
          <w:rFonts w:cstheme="minorHAnsi"/>
        </w:rPr>
        <w:t>ensure that the SLCS complies with standard procedures in the treatment of inmates that responds to addressing their behavioural and criminogenic needs, the SLCS with support from UNDP has developed tools for the assessment and classification of detainees. The inception trainings were conducted for</w:t>
      </w:r>
      <w:r w:rsidR="00C66E85">
        <w:rPr>
          <w:rFonts w:cstheme="minorHAnsi"/>
        </w:rPr>
        <w:t xml:space="preserve"> 10 selected staff. With </w:t>
      </w:r>
      <w:r w:rsidR="006905E1">
        <w:rPr>
          <w:rFonts w:cstheme="minorHAnsi"/>
        </w:rPr>
        <w:t>progressive roll-</w:t>
      </w:r>
      <w:r w:rsidR="00C66E85">
        <w:rPr>
          <w:rFonts w:cstheme="minorHAnsi"/>
        </w:rPr>
        <w:t xml:space="preserve">out of this component earmarked for 2019, the successful completion will ensure </w:t>
      </w:r>
      <w:r w:rsidR="006905E1">
        <w:rPr>
          <w:rFonts w:cstheme="minorHAnsi"/>
        </w:rPr>
        <w:t xml:space="preserve">that inmates are placed within facilities that will help them to recover from their criminogenic approach to life as well as contribute to their successful reintegration to society after </w:t>
      </w:r>
      <w:r w:rsidR="00491103">
        <w:rPr>
          <w:rFonts w:cstheme="minorHAnsi"/>
        </w:rPr>
        <w:t xml:space="preserve">serving their custodial </w:t>
      </w:r>
      <w:r w:rsidR="006905E1">
        <w:rPr>
          <w:rFonts w:cstheme="minorHAnsi"/>
        </w:rPr>
        <w:t xml:space="preserve">sentence. </w:t>
      </w:r>
    </w:p>
    <w:p w14:paraId="06015189" w14:textId="5FAB4A6D" w:rsidR="00073338" w:rsidRDefault="00073338" w:rsidP="00073338">
      <w:pPr>
        <w:spacing w:after="160" w:line="240" w:lineRule="auto"/>
        <w:jc w:val="both"/>
      </w:pPr>
      <w:r>
        <w:lastRenderedPageBreak/>
        <w:t xml:space="preserve">The establishment of the Prison Courts by the Judiciary to review pre-trial and remand population cases and decongest the Correctional </w:t>
      </w:r>
      <w:r w:rsidR="00F95408">
        <w:t>f</w:t>
      </w:r>
      <w:r>
        <w:t>acilities</w:t>
      </w:r>
      <w:r w:rsidR="00F95408">
        <w:t xml:space="preserve"> has so far contributed to the </w:t>
      </w:r>
      <w:r>
        <w:t>review</w:t>
      </w:r>
      <w:r w:rsidR="00F95408">
        <w:t xml:space="preserve"> of</w:t>
      </w:r>
      <w:r>
        <w:t xml:space="preserve"> 1,</w:t>
      </w:r>
      <w:r w:rsidR="00F95408">
        <w:t>1</w:t>
      </w:r>
      <w:r>
        <w:t>00 cases across the country</w:t>
      </w:r>
      <w:r w:rsidR="00F95408">
        <w:t xml:space="preserve">. The exercise has resulted in the preferment of over 425 </w:t>
      </w:r>
      <w:r>
        <w:t xml:space="preserve">indictments by the Law Officers Department </w:t>
      </w:r>
      <w:r w:rsidR="00F95408">
        <w:t xml:space="preserve">(LOD) </w:t>
      </w:r>
      <w:r>
        <w:t xml:space="preserve">and releases of 100 inmates </w:t>
      </w:r>
      <w:r w:rsidR="00F95408">
        <w:t xml:space="preserve">detained without evidence. In addition to this the Prison Watch has contributed to the release and reintegration of </w:t>
      </w:r>
      <w:r>
        <w:t xml:space="preserve">166 inmates </w:t>
      </w:r>
      <w:r w:rsidR="00D35279">
        <w:t xml:space="preserve">to reintegrate back to society. </w:t>
      </w:r>
    </w:p>
    <w:p w14:paraId="05559854" w14:textId="77777777" w:rsidR="006F3F4D" w:rsidRDefault="006F3F4D" w:rsidP="00073338">
      <w:pPr>
        <w:spacing w:after="160" w:line="259" w:lineRule="auto"/>
        <w:jc w:val="both"/>
      </w:pPr>
      <w:r>
        <w:t>To ensure released inmates contribute to the development of their communities, the SLCS with support from UNDP has initiated and piloted an Earning Scheme building on correctional industries trainings undertaken in Colorado, USA and South-South visit by the SLCS management and staff to the Kenya Prison facility. S</w:t>
      </w:r>
      <w:r w:rsidR="00073338">
        <w:t xml:space="preserve">o far, 246 sentenced inmates (21 female and 225 male) and 73 SLCS Officers have been trained to effectively manage the Industries Programme and </w:t>
      </w:r>
      <w:r>
        <w:t xml:space="preserve">provide </w:t>
      </w:r>
      <w:r w:rsidR="00073338">
        <w:t xml:space="preserve">training </w:t>
      </w:r>
      <w:r>
        <w:t xml:space="preserve">and mentoring </w:t>
      </w:r>
      <w:r w:rsidR="00073338">
        <w:t>of inmates</w:t>
      </w:r>
      <w:r>
        <w:t>.</w:t>
      </w:r>
    </w:p>
    <w:p w14:paraId="3FC17BFF" w14:textId="2FF5726B" w:rsidR="00D01F96" w:rsidRDefault="00491103" w:rsidP="00073338">
      <w:pPr>
        <w:spacing w:after="160" w:line="259" w:lineRule="auto"/>
        <w:jc w:val="both"/>
        <w:rPr>
          <w:rFonts w:cstheme="minorHAnsi"/>
        </w:rPr>
      </w:pPr>
      <w:r>
        <w:rPr>
          <w:rFonts w:cstheme="minorHAnsi"/>
        </w:rPr>
        <w:t>After the</w:t>
      </w:r>
      <w:r w:rsidR="00D35279">
        <w:rPr>
          <w:rFonts w:cstheme="minorHAnsi"/>
        </w:rPr>
        <w:t xml:space="preserve"> development of the Human Rights Action Plan in 2017 for all 19 facilities and pilot </w:t>
      </w:r>
      <w:r>
        <w:rPr>
          <w:rFonts w:cstheme="minorHAnsi"/>
        </w:rPr>
        <w:t>human right audit</w:t>
      </w:r>
      <w:r w:rsidR="00C07ED4">
        <w:rPr>
          <w:rFonts w:cstheme="minorHAnsi"/>
        </w:rPr>
        <w:t xml:space="preserve">s implemented of key institutions, </w:t>
      </w:r>
      <w:r w:rsidR="00760278">
        <w:rPr>
          <w:rFonts w:cstheme="minorHAnsi"/>
        </w:rPr>
        <w:t>t</w:t>
      </w:r>
      <w:r>
        <w:rPr>
          <w:rFonts w:cstheme="minorHAnsi"/>
        </w:rPr>
        <w:t>he S</w:t>
      </w:r>
      <w:r w:rsidR="00CD2060" w:rsidRPr="00E46379">
        <w:rPr>
          <w:rFonts w:cstheme="minorHAnsi"/>
        </w:rPr>
        <w:t xml:space="preserve">LCS </w:t>
      </w:r>
      <w:r w:rsidR="00285AEC">
        <w:rPr>
          <w:rFonts w:cstheme="minorHAnsi"/>
        </w:rPr>
        <w:t xml:space="preserve">has </w:t>
      </w:r>
      <w:r>
        <w:rPr>
          <w:rFonts w:cstheme="minorHAnsi"/>
        </w:rPr>
        <w:t xml:space="preserve">now strengthened the capacity of its M&amp;E unit to expand the audit of other facilities. </w:t>
      </w:r>
      <w:r w:rsidR="00F825B7">
        <w:rPr>
          <w:rFonts w:cstheme="minorHAnsi"/>
        </w:rPr>
        <w:t>The audits were conducted b</w:t>
      </w:r>
      <w:r>
        <w:rPr>
          <w:rFonts w:cstheme="minorHAnsi"/>
        </w:rPr>
        <w:t>ased on the</w:t>
      </w:r>
      <w:r w:rsidR="00C07ED4">
        <w:rPr>
          <w:rFonts w:cstheme="minorHAnsi"/>
        </w:rPr>
        <w:t xml:space="preserve"> UN Standard Minimum Rules for the Treatment of Prisoners</w:t>
      </w:r>
      <w:r>
        <w:rPr>
          <w:rFonts w:cstheme="minorHAnsi"/>
        </w:rPr>
        <w:t xml:space="preserve"> </w:t>
      </w:r>
      <w:r w:rsidR="00C07ED4">
        <w:rPr>
          <w:rFonts w:cstheme="minorHAnsi"/>
        </w:rPr>
        <w:t>(</w:t>
      </w:r>
      <w:r w:rsidR="00F825B7">
        <w:rPr>
          <w:rFonts w:cstheme="minorHAnsi"/>
        </w:rPr>
        <w:t>Mandela Rules</w:t>
      </w:r>
      <w:r w:rsidR="00C07ED4">
        <w:rPr>
          <w:rFonts w:cstheme="minorHAnsi"/>
        </w:rPr>
        <w:t xml:space="preserve">) and the United Nations Rules for the Treatment of Women Prisoners and Non-custodial Measures for Women Offenders (‘the Bangkok Rules) </w:t>
      </w:r>
      <w:r w:rsidR="00F825B7">
        <w:rPr>
          <w:rFonts w:cstheme="minorHAnsi"/>
        </w:rPr>
        <w:t>that set out the minimum standards for the treatment of inmates in detention. Six (6) facilities were audited in 2018 by the M&amp;E team</w:t>
      </w:r>
      <w:r w:rsidR="00D01F96">
        <w:rPr>
          <w:rFonts w:cstheme="minorHAnsi"/>
        </w:rPr>
        <w:t xml:space="preserve">. </w:t>
      </w:r>
      <w:r w:rsidR="00C07ED4">
        <w:rPr>
          <w:rFonts w:cstheme="minorHAnsi"/>
        </w:rPr>
        <w:t>Progress across correctional facilities included but were not limited to improvement in files</w:t>
      </w:r>
      <w:r w:rsidR="0035634B">
        <w:rPr>
          <w:rFonts w:cstheme="minorHAnsi"/>
        </w:rPr>
        <w:t>/records</w:t>
      </w:r>
      <w:r w:rsidR="00C07ED4">
        <w:rPr>
          <w:rFonts w:cstheme="minorHAnsi"/>
        </w:rPr>
        <w:t xml:space="preserve"> management, separation of categories (in facilities w</w:t>
      </w:r>
      <w:r w:rsidR="0035634B">
        <w:rPr>
          <w:rFonts w:cstheme="minorHAnsi"/>
        </w:rPr>
        <w:t>h</w:t>
      </w:r>
      <w:r w:rsidR="00C07ED4">
        <w:rPr>
          <w:rFonts w:cstheme="minorHAnsi"/>
        </w:rPr>
        <w:t xml:space="preserve">ere possible), access to clean water and sanitation, improvement in diet, ‘contact with the outside world’ (access to newspaper, radio and tv, phone calls and visitation rights for children implemented). In furtherance, the SLCS has made impressive progress in some facilities (Mafanta and Moyamba) to build on the industries master plan with a specific focus on agriculture which shows real potential in the SLCS in becoming self-reliant if the institution would continue to receive the requisite political and financial support to grow the industries programme. However, </w:t>
      </w:r>
      <w:r w:rsidR="00D01F96">
        <w:rPr>
          <w:rFonts w:cstheme="minorHAnsi"/>
        </w:rPr>
        <w:t xml:space="preserve">there is need for the SLCS senior management to </w:t>
      </w:r>
      <w:r w:rsidR="005E0A08">
        <w:rPr>
          <w:rFonts w:cstheme="minorHAnsi"/>
        </w:rPr>
        <w:t>further</w:t>
      </w:r>
      <w:r w:rsidR="00C07ED4">
        <w:rPr>
          <w:rFonts w:cstheme="minorHAnsi"/>
        </w:rPr>
        <w:t xml:space="preserve"> strengthen implementation and focus on</w:t>
      </w:r>
      <w:r w:rsidR="007F127B">
        <w:rPr>
          <w:rFonts w:cstheme="minorHAnsi"/>
        </w:rPr>
        <w:t xml:space="preserve"> interventions </w:t>
      </w:r>
      <w:r w:rsidR="00D01F96">
        <w:rPr>
          <w:rFonts w:cstheme="minorHAnsi"/>
        </w:rPr>
        <w:t xml:space="preserve">that do not require any financial support from the SLCS to implement. </w:t>
      </w:r>
    </w:p>
    <w:p w14:paraId="7CBEC94A" w14:textId="77777777" w:rsidR="00F15FD1" w:rsidRDefault="00C24928" w:rsidP="00F15FD1">
      <w:pPr>
        <w:spacing w:after="0" w:line="240" w:lineRule="auto"/>
        <w:jc w:val="both"/>
      </w:pPr>
      <w:r w:rsidRPr="00E46379">
        <w:rPr>
          <w:rFonts w:cstheme="minorHAnsi"/>
        </w:rPr>
        <w:t>T</w:t>
      </w:r>
      <w:r w:rsidR="007847A7">
        <w:rPr>
          <w:rFonts w:cstheme="minorHAnsi"/>
        </w:rPr>
        <w:t xml:space="preserve">o strengthen </w:t>
      </w:r>
      <w:r w:rsidR="00E118B5">
        <w:rPr>
          <w:rFonts w:cstheme="minorHAnsi"/>
        </w:rPr>
        <w:t xml:space="preserve">people and communities’ access to justice, the </w:t>
      </w:r>
      <w:r w:rsidRPr="00E46379">
        <w:rPr>
          <w:rFonts w:cstheme="minorHAnsi"/>
        </w:rPr>
        <w:t>Human Right</w:t>
      </w:r>
      <w:r w:rsidR="00EC10A6" w:rsidRPr="00E46379">
        <w:rPr>
          <w:rFonts w:cstheme="minorHAnsi"/>
        </w:rPr>
        <w:t>s</w:t>
      </w:r>
      <w:r w:rsidRPr="00E46379">
        <w:rPr>
          <w:rFonts w:cstheme="minorHAnsi"/>
        </w:rPr>
        <w:t xml:space="preserve"> Commission (HRC) </w:t>
      </w:r>
      <w:r w:rsidR="00896E06">
        <w:rPr>
          <w:rFonts w:cstheme="minorHAnsi"/>
        </w:rPr>
        <w:t xml:space="preserve">has </w:t>
      </w:r>
      <w:r w:rsidR="00E118B5">
        <w:rPr>
          <w:rFonts w:cstheme="minorHAnsi"/>
        </w:rPr>
        <w:t xml:space="preserve">continued </w:t>
      </w:r>
      <w:r w:rsidR="00896E06">
        <w:rPr>
          <w:rFonts w:cstheme="minorHAnsi"/>
        </w:rPr>
        <w:t xml:space="preserve">through </w:t>
      </w:r>
      <w:r w:rsidR="00E118B5">
        <w:rPr>
          <w:rFonts w:cstheme="minorHAnsi"/>
        </w:rPr>
        <w:t>its</w:t>
      </w:r>
      <w:r w:rsidRPr="00E46379">
        <w:rPr>
          <w:rFonts w:cstheme="minorHAnsi"/>
        </w:rPr>
        <w:t xml:space="preserve"> innovative approach </w:t>
      </w:r>
      <w:r w:rsidR="00E118B5">
        <w:rPr>
          <w:rFonts w:cstheme="minorHAnsi"/>
        </w:rPr>
        <w:t xml:space="preserve">to receive complaints across 2 districts utilizing </w:t>
      </w:r>
      <w:r w:rsidRPr="00E46379">
        <w:rPr>
          <w:rFonts w:cstheme="minorHAnsi"/>
        </w:rPr>
        <w:t>mobile clinics</w:t>
      </w:r>
      <w:r w:rsidR="00E118B5">
        <w:rPr>
          <w:rFonts w:cstheme="minorHAnsi"/>
        </w:rPr>
        <w:t xml:space="preserve">. This approach has resulted in the receipt of </w:t>
      </w:r>
      <w:r w:rsidR="003C3272">
        <w:rPr>
          <w:rFonts w:cstheme="minorHAnsi"/>
        </w:rPr>
        <w:t>24</w:t>
      </w:r>
      <w:r w:rsidR="00E118B5">
        <w:rPr>
          <w:rFonts w:cstheme="minorHAnsi"/>
        </w:rPr>
        <w:t xml:space="preserve"> complaints </w:t>
      </w:r>
      <w:r w:rsidR="003C3272">
        <w:rPr>
          <w:rFonts w:cstheme="minorHAnsi"/>
        </w:rPr>
        <w:t xml:space="preserve">(from 14 males and 10 females) </w:t>
      </w:r>
      <w:r w:rsidR="00E118B5">
        <w:rPr>
          <w:rFonts w:cstheme="minorHAnsi"/>
        </w:rPr>
        <w:t>received</w:t>
      </w:r>
      <w:r w:rsidR="00896E06">
        <w:rPr>
          <w:rFonts w:cstheme="minorHAnsi"/>
        </w:rPr>
        <w:t>.</w:t>
      </w:r>
      <w:r w:rsidR="00E118B5">
        <w:rPr>
          <w:rFonts w:cstheme="minorHAnsi"/>
        </w:rPr>
        <w:t xml:space="preserve"> </w:t>
      </w:r>
      <w:r w:rsidR="003C3272">
        <w:rPr>
          <w:rFonts w:cstheme="minorHAnsi"/>
        </w:rPr>
        <w:t>To deepen the culture of human right practice and awareness, the Commission embarked on setting up human right peace clubs (HRPCs) across l</w:t>
      </w:r>
      <w:r w:rsidR="00384D4A">
        <w:rPr>
          <w:rFonts w:cstheme="minorHAnsi"/>
        </w:rPr>
        <w:t xml:space="preserve">earning institutions. </w:t>
      </w:r>
      <w:r w:rsidR="003C3272" w:rsidRPr="003C3272">
        <w:t xml:space="preserve">A total of 17 Human Rights and Peace Clubs (HRPCs) were set up and launched in 17 secondary schools in </w:t>
      </w:r>
      <w:r w:rsidR="00384D4A">
        <w:t>3</w:t>
      </w:r>
      <w:r w:rsidR="003C3272" w:rsidRPr="003C3272">
        <w:t xml:space="preserve"> districts</w:t>
      </w:r>
      <w:r w:rsidR="00384D4A">
        <w:t xml:space="preserve"> with eleven</w:t>
      </w:r>
      <w:r w:rsidR="003C3272" w:rsidRPr="003C3272">
        <w:t xml:space="preserve"> (11) </w:t>
      </w:r>
      <w:r w:rsidR="00384D4A">
        <w:t xml:space="preserve">clubs in the </w:t>
      </w:r>
      <w:r w:rsidR="003C3272" w:rsidRPr="003C3272">
        <w:t>Western Area and</w:t>
      </w:r>
      <w:r w:rsidR="00384D4A">
        <w:t xml:space="preserve"> six</w:t>
      </w:r>
      <w:r w:rsidR="003C3272" w:rsidRPr="003C3272">
        <w:t xml:space="preserve"> (6) </w:t>
      </w:r>
      <w:r w:rsidR="00384D4A">
        <w:t xml:space="preserve">in </w:t>
      </w:r>
      <w:r w:rsidR="003C3272" w:rsidRPr="003C3272">
        <w:t>Makeni</w:t>
      </w:r>
      <w:r w:rsidR="00384D4A">
        <w:t xml:space="preserve"> and </w:t>
      </w:r>
      <w:r w:rsidR="003C3272" w:rsidRPr="003C3272">
        <w:t>Bombali District</w:t>
      </w:r>
      <w:r w:rsidR="00384D4A">
        <w:t>s</w:t>
      </w:r>
      <w:r w:rsidR="003C3272" w:rsidRPr="003C3272">
        <w:t xml:space="preserve"> in the North</w:t>
      </w:r>
      <w:r w:rsidR="00384D4A">
        <w:t>. Guidelines were d</w:t>
      </w:r>
      <w:r w:rsidR="003C3272" w:rsidRPr="003C3272">
        <w:t>eveloped</w:t>
      </w:r>
      <w:r w:rsidR="00384D4A">
        <w:t xml:space="preserve"> to support the operation of the </w:t>
      </w:r>
      <w:r w:rsidR="003C3272" w:rsidRPr="003C3272">
        <w:t>HRPCs</w:t>
      </w:r>
      <w:r w:rsidR="00F15FD1">
        <w:t xml:space="preserve">. These clubs are now able to identify issues around human rights and channel them to authorities for redress making use of the 75 pupils and teachers capacitated with basic human rights principles and practice. </w:t>
      </w:r>
    </w:p>
    <w:p w14:paraId="3E3D0C0D" w14:textId="77777777" w:rsidR="00F15FD1" w:rsidRDefault="00F15FD1" w:rsidP="00F15FD1">
      <w:pPr>
        <w:spacing w:after="0" w:line="240" w:lineRule="auto"/>
        <w:jc w:val="both"/>
      </w:pPr>
    </w:p>
    <w:p w14:paraId="4704256A" w14:textId="77777777" w:rsidR="00896E06" w:rsidRDefault="00E118B5" w:rsidP="00F15FD1">
      <w:pPr>
        <w:spacing w:after="0" w:line="240" w:lineRule="auto"/>
        <w:jc w:val="both"/>
        <w:rPr>
          <w:rFonts w:cstheme="minorHAnsi"/>
        </w:rPr>
      </w:pPr>
      <w:r>
        <w:rPr>
          <w:rFonts w:cstheme="minorHAnsi"/>
        </w:rPr>
        <w:t>While it has remained a challenge for action to be taken by the Commission on cases received</w:t>
      </w:r>
      <w:r w:rsidR="00F15FD1">
        <w:rPr>
          <w:rFonts w:cstheme="minorHAnsi"/>
        </w:rPr>
        <w:t xml:space="preserve"> with limited follow up after investigations</w:t>
      </w:r>
      <w:r>
        <w:rPr>
          <w:rFonts w:cstheme="minorHAnsi"/>
        </w:rPr>
        <w:t>,</w:t>
      </w:r>
      <w:r w:rsidR="00AA7B95">
        <w:rPr>
          <w:rFonts w:cstheme="minorHAnsi"/>
        </w:rPr>
        <w:t xml:space="preserve"> th</w:t>
      </w:r>
      <w:r w:rsidR="00F15FD1">
        <w:rPr>
          <w:rFonts w:cstheme="minorHAnsi"/>
        </w:rPr>
        <w:t>e</w:t>
      </w:r>
      <w:r w:rsidR="00AA7B95">
        <w:rPr>
          <w:rFonts w:cstheme="minorHAnsi"/>
        </w:rPr>
        <w:t xml:space="preserve"> approach to </w:t>
      </w:r>
      <w:r w:rsidR="00F15FD1">
        <w:rPr>
          <w:rFonts w:cstheme="minorHAnsi"/>
        </w:rPr>
        <w:t xml:space="preserve">mobile </w:t>
      </w:r>
      <w:r w:rsidR="00AA7B95">
        <w:rPr>
          <w:rFonts w:cstheme="minorHAnsi"/>
        </w:rPr>
        <w:t>complaints filing has contributed to</w:t>
      </w:r>
      <w:r w:rsidR="00CD6983">
        <w:rPr>
          <w:rFonts w:cstheme="minorHAnsi"/>
        </w:rPr>
        <w:t xml:space="preserve"> </w:t>
      </w:r>
      <w:r w:rsidR="0041301B">
        <w:rPr>
          <w:rFonts w:cstheme="minorHAnsi"/>
        </w:rPr>
        <w:t xml:space="preserve">increasing people and communities’ hope for action in relation to violations suffered. </w:t>
      </w:r>
      <w:r w:rsidR="00AA7B95">
        <w:rPr>
          <w:rFonts w:cstheme="minorHAnsi"/>
        </w:rPr>
        <w:t xml:space="preserve"> </w:t>
      </w:r>
      <w:r>
        <w:rPr>
          <w:rFonts w:cstheme="minorHAnsi"/>
        </w:rPr>
        <w:t xml:space="preserve"> </w:t>
      </w:r>
    </w:p>
    <w:p w14:paraId="051C336C" w14:textId="77777777" w:rsidR="00F15FD1" w:rsidRDefault="00F15FD1" w:rsidP="00F15FD1">
      <w:pPr>
        <w:spacing w:after="0" w:line="240" w:lineRule="auto"/>
        <w:jc w:val="both"/>
        <w:rPr>
          <w:rFonts w:cstheme="minorHAnsi"/>
        </w:rPr>
      </w:pPr>
    </w:p>
    <w:p w14:paraId="25ED5688" w14:textId="79B7B125" w:rsidR="00D80D97" w:rsidRDefault="00D80D97" w:rsidP="00C24928">
      <w:pPr>
        <w:jc w:val="both"/>
        <w:rPr>
          <w:rFonts w:cstheme="minorHAnsi"/>
        </w:rPr>
      </w:pPr>
      <w:r>
        <w:t>The IPCB has enhanced the capacity of its staff from the HQ and regional offices on evidence preservation and basic handling of matters</w:t>
      </w:r>
      <w:r w:rsidR="00A13736">
        <w:t xml:space="preserve"> this has now enabled the speedy investigation and conclusion of 5 cases which have been channeled to the DPP’s Office for advice</w:t>
      </w:r>
      <w:r>
        <w:t>. To ensure enhance</w:t>
      </w:r>
      <w:r w:rsidR="0035634B">
        <w:t>d</w:t>
      </w:r>
      <w:r>
        <w:t xml:space="preserve"> collaboration with civil </w:t>
      </w:r>
      <w:r>
        <w:lastRenderedPageBreak/>
        <w:t>society, the IPCB with su</w:t>
      </w:r>
      <w:r w:rsidR="00BB7D36">
        <w:t xml:space="preserve">pport from CSOs strengthened its </w:t>
      </w:r>
      <w:r w:rsidR="005E0A08">
        <w:t>outreach</w:t>
      </w:r>
      <w:r>
        <w:t xml:space="preserve"> to communities with 3 workshops organized across 3 regional headquarter towns.</w:t>
      </w:r>
      <w:r w:rsidR="00A13736">
        <w:t xml:space="preserve"> The sessions facilitated interface between the IPCB and communities and deepened working ties. </w:t>
      </w:r>
      <w:bookmarkEnd w:id="9"/>
    </w:p>
    <w:p w14:paraId="1D1D5DE6" w14:textId="77777777" w:rsidR="00C24928" w:rsidRPr="00E46379" w:rsidRDefault="00896E06" w:rsidP="00C24928">
      <w:pPr>
        <w:jc w:val="both"/>
        <w:rPr>
          <w:rFonts w:cstheme="minorHAnsi"/>
        </w:rPr>
      </w:pPr>
      <w:r>
        <w:rPr>
          <w:rFonts w:cstheme="minorHAnsi"/>
        </w:rPr>
        <w:t>While great progress has been made in the achievement of targets, the following challenges and</w:t>
      </w:r>
      <w:r w:rsidR="00C24928" w:rsidRPr="00E46379">
        <w:rPr>
          <w:rFonts w:cstheme="minorHAnsi"/>
        </w:rPr>
        <w:t xml:space="preserve"> risks remain:</w:t>
      </w:r>
    </w:p>
    <w:p w14:paraId="6962B3A3" w14:textId="28D00A18" w:rsidR="00293D34" w:rsidRDefault="005E0A08" w:rsidP="00C24928">
      <w:pPr>
        <w:pStyle w:val="ListParagraph"/>
        <w:numPr>
          <w:ilvl w:val="0"/>
          <w:numId w:val="18"/>
        </w:numPr>
        <w:jc w:val="both"/>
        <w:rPr>
          <w:rFonts w:cstheme="minorHAnsi"/>
        </w:rPr>
      </w:pPr>
      <w:r>
        <w:rPr>
          <w:rFonts w:cstheme="minorHAnsi"/>
        </w:rPr>
        <w:t xml:space="preserve">The revised Criminal Procedure Act has still not been enacted and the reforms that </w:t>
      </w:r>
      <w:r w:rsidR="00293D34">
        <w:rPr>
          <w:rFonts w:cstheme="minorHAnsi"/>
        </w:rPr>
        <w:t xml:space="preserve">are connected to enhancing criminal justice procedure have hence not been completed. This continues to impede justice delivery; </w:t>
      </w:r>
    </w:p>
    <w:p w14:paraId="3441297F" w14:textId="6CBEE277" w:rsidR="00293D34" w:rsidRDefault="00293D34" w:rsidP="00C24928">
      <w:pPr>
        <w:pStyle w:val="ListParagraph"/>
        <w:numPr>
          <w:ilvl w:val="0"/>
          <w:numId w:val="18"/>
        </w:numPr>
        <w:jc w:val="both"/>
        <w:rPr>
          <w:rFonts w:cstheme="minorHAnsi"/>
        </w:rPr>
      </w:pPr>
      <w:r>
        <w:rPr>
          <w:rFonts w:cstheme="minorHAnsi"/>
        </w:rPr>
        <w:t xml:space="preserve">Government justice and security sector reforms have focused on the Western Area </w:t>
      </w:r>
      <w:r w:rsidR="0035634B">
        <w:rPr>
          <w:rFonts w:cstheme="minorHAnsi"/>
        </w:rPr>
        <w:t xml:space="preserve">leaving </w:t>
      </w:r>
      <w:r>
        <w:rPr>
          <w:rFonts w:cstheme="minorHAnsi"/>
        </w:rPr>
        <w:t>the provincial areas still underprioritized which can be seen in justice and security delivery;</w:t>
      </w:r>
    </w:p>
    <w:p w14:paraId="0AA806C4" w14:textId="7202E551" w:rsidR="00587B7B" w:rsidRDefault="00293D34" w:rsidP="00C24928">
      <w:pPr>
        <w:pStyle w:val="ListParagraph"/>
        <w:numPr>
          <w:ilvl w:val="0"/>
          <w:numId w:val="18"/>
        </w:numPr>
        <w:jc w:val="both"/>
        <w:rPr>
          <w:rFonts w:cstheme="minorHAnsi"/>
        </w:rPr>
      </w:pPr>
      <w:r>
        <w:rPr>
          <w:rFonts w:cstheme="minorHAnsi"/>
        </w:rPr>
        <w:t>The elections saw multi-lateral and bilateral donors more reluctant to fund initiatives focusing on justice and security reform</w:t>
      </w:r>
      <w:r w:rsidR="0035634B">
        <w:rPr>
          <w:rFonts w:cstheme="minorHAnsi"/>
        </w:rPr>
        <w:t>s</w:t>
      </w:r>
      <w:r>
        <w:rPr>
          <w:rFonts w:cstheme="minorHAnsi"/>
        </w:rPr>
        <w:t xml:space="preserve"> and </w:t>
      </w:r>
      <w:r w:rsidR="00C11C3A">
        <w:rPr>
          <w:rFonts w:cstheme="minorHAnsi"/>
        </w:rPr>
        <w:t xml:space="preserve">in </w:t>
      </w:r>
      <w:r>
        <w:rPr>
          <w:rFonts w:cstheme="minorHAnsi"/>
        </w:rPr>
        <w:t xml:space="preserve">2018 </w:t>
      </w:r>
      <w:r w:rsidR="00C11C3A">
        <w:rPr>
          <w:rFonts w:cstheme="minorHAnsi"/>
        </w:rPr>
        <w:t xml:space="preserve">– </w:t>
      </w:r>
      <w:r>
        <w:rPr>
          <w:rFonts w:cstheme="minorHAnsi"/>
        </w:rPr>
        <w:t>2019</w:t>
      </w:r>
      <w:r w:rsidR="00C11C3A">
        <w:rPr>
          <w:rFonts w:cstheme="minorHAnsi"/>
        </w:rPr>
        <w:t xml:space="preserve"> donors are continuously engaging the new government also to assess the level of commitment and prioritization of the justice and security institutions;</w:t>
      </w:r>
      <w:r>
        <w:rPr>
          <w:rFonts w:cstheme="minorHAnsi"/>
        </w:rPr>
        <w:t xml:space="preserve"> </w:t>
      </w:r>
    </w:p>
    <w:p w14:paraId="08D3F8EF" w14:textId="25E81843" w:rsidR="00C11C3A" w:rsidRDefault="00C11C3A" w:rsidP="00C24928">
      <w:pPr>
        <w:pStyle w:val="ListParagraph"/>
        <w:numPr>
          <w:ilvl w:val="0"/>
          <w:numId w:val="18"/>
        </w:numPr>
        <w:jc w:val="both"/>
        <w:rPr>
          <w:rFonts w:cstheme="minorHAnsi"/>
        </w:rPr>
      </w:pPr>
      <w:r>
        <w:rPr>
          <w:rFonts w:cstheme="minorHAnsi"/>
        </w:rPr>
        <w:t>The electronic case management systems</w:t>
      </w:r>
      <w:r w:rsidR="0035634B">
        <w:rPr>
          <w:rFonts w:cstheme="minorHAnsi"/>
        </w:rPr>
        <w:t xml:space="preserve"> with the SLCS and MOJ</w:t>
      </w:r>
      <w:r>
        <w:rPr>
          <w:rFonts w:cstheme="minorHAnsi"/>
        </w:rPr>
        <w:t xml:space="preserve"> have had some delays in implementation partially due to change of government as new heads wanted to assess what had been agreed but also due to this being a completely new initiative within the justice and security sector, so it will take longer than expected to have the systems fully entrenched within institutions;</w:t>
      </w:r>
    </w:p>
    <w:p w14:paraId="74652DCC" w14:textId="53F7809B" w:rsidR="00C11C3A" w:rsidRPr="00E46379" w:rsidRDefault="00C11C3A" w:rsidP="00C24928">
      <w:pPr>
        <w:pStyle w:val="ListParagraph"/>
        <w:numPr>
          <w:ilvl w:val="0"/>
          <w:numId w:val="18"/>
        </w:numPr>
        <w:jc w:val="both"/>
        <w:rPr>
          <w:rFonts w:cstheme="minorHAnsi"/>
        </w:rPr>
      </w:pPr>
      <w:r>
        <w:rPr>
          <w:rFonts w:cstheme="minorHAnsi"/>
        </w:rPr>
        <w:t>Lack of proper supervision and monitoring of the justice chain link remains a key issue;</w:t>
      </w:r>
    </w:p>
    <w:p w14:paraId="6B18483F" w14:textId="111E80E6" w:rsidR="00C24928" w:rsidRPr="00E46379" w:rsidRDefault="00587B7B" w:rsidP="00C24928">
      <w:pPr>
        <w:pStyle w:val="ListParagraph"/>
        <w:numPr>
          <w:ilvl w:val="0"/>
          <w:numId w:val="18"/>
        </w:numPr>
        <w:jc w:val="both"/>
        <w:rPr>
          <w:rFonts w:cstheme="minorHAnsi"/>
        </w:rPr>
      </w:pPr>
      <w:r w:rsidRPr="00E46379">
        <w:rPr>
          <w:rFonts w:cstheme="minorHAnsi"/>
        </w:rPr>
        <w:t>Implementing Partners non-compliance with UNDP reporting requirements causing d</w:t>
      </w:r>
      <w:r w:rsidR="00C24928" w:rsidRPr="00E46379">
        <w:rPr>
          <w:rFonts w:cstheme="minorHAnsi"/>
        </w:rPr>
        <w:t>elays in</w:t>
      </w:r>
      <w:r w:rsidRPr="00E46379">
        <w:rPr>
          <w:rFonts w:cstheme="minorHAnsi"/>
        </w:rPr>
        <w:t xml:space="preserve"> report closure and affecting delivery and progress against targets;</w:t>
      </w:r>
      <w:r w:rsidR="00C24928" w:rsidRPr="00E46379">
        <w:rPr>
          <w:rFonts w:cstheme="minorHAnsi"/>
        </w:rPr>
        <w:t xml:space="preserve"> </w:t>
      </w:r>
    </w:p>
    <w:p w14:paraId="1D9877D3" w14:textId="77258322" w:rsidR="00200CC8" w:rsidRPr="00557DE3" w:rsidRDefault="00C24928" w:rsidP="00F56F57">
      <w:pPr>
        <w:pStyle w:val="ListParagraph"/>
        <w:numPr>
          <w:ilvl w:val="0"/>
          <w:numId w:val="18"/>
        </w:numPr>
        <w:jc w:val="both"/>
        <w:rPr>
          <w:b/>
          <w:bCs/>
        </w:rPr>
      </w:pPr>
      <w:r w:rsidRPr="00042EC6">
        <w:rPr>
          <w:rFonts w:cstheme="minorHAnsi"/>
        </w:rPr>
        <w:t xml:space="preserve">Fiduciary risk of partners handling funds remains a concern with </w:t>
      </w:r>
      <w:r w:rsidR="00587B7B" w:rsidRPr="00042EC6">
        <w:rPr>
          <w:rFonts w:cstheme="minorHAnsi"/>
        </w:rPr>
        <w:t xml:space="preserve">some institutions having weak </w:t>
      </w:r>
      <w:r w:rsidRPr="00042EC6">
        <w:rPr>
          <w:rFonts w:cstheme="minorHAnsi"/>
        </w:rPr>
        <w:t xml:space="preserve">internal </w:t>
      </w:r>
      <w:r w:rsidR="00587B7B" w:rsidRPr="00042EC6">
        <w:rPr>
          <w:rFonts w:cstheme="minorHAnsi"/>
        </w:rPr>
        <w:t xml:space="preserve">administrative </w:t>
      </w:r>
      <w:r w:rsidR="006035E8">
        <w:rPr>
          <w:rFonts w:cstheme="minorHAnsi"/>
        </w:rPr>
        <w:t xml:space="preserve">and control </w:t>
      </w:r>
      <w:r w:rsidR="00587B7B" w:rsidRPr="00042EC6">
        <w:rPr>
          <w:rFonts w:cstheme="minorHAnsi"/>
        </w:rPr>
        <w:t xml:space="preserve">systems in place. </w:t>
      </w:r>
    </w:p>
    <w:p w14:paraId="7D399285" w14:textId="78A5EB39" w:rsidR="00D01F96" w:rsidRPr="00042EC6" w:rsidRDefault="005E0A08" w:rsidP="00F56F57">
      <w:pPr>
        <w:pStyle w:val="ListParagraph"/>
        <w:numPr>
          <w:ilvl w:val="0"/>
          <w:numId w:val="18"/>
        </w:numPr>
        <w:jc w:val="both"/>
        <w:rPr>
          <w:b/>
          <w:bCs/>
        </w:rPr>
      </w:pPr>
      <w:r>
        <w:rPr>
          <w:rFonts w:cstheme="minorHAnsi"/>
        </w:rPr>
        <w:t xml:space="preserve">Political interference in the Human Rights Commission both during former government and by </w:t>
      </w:r>
      <w:r w:rsidR="006035E8">
        <w:rPr>
          <w:rFonts w:cstheme="minorHAnsi"/>
        </w:rPr>
        <w:t xml:space="preserve">the disbandment of the Commissioners by the </w:t>
      </w:r>
      <w:r>
        <w:rPr>
          <w:rFonts w:cstheme="minorHAnsi"/>
        </w:rPr>
        <w:t>new government</w:t>
      </w:r>
      <w:r w:rsidR="006035E8">
        <w:rPr>
          <w:rFonts w:cstheme="minorHAnsi"/>
        </w:rPr>
        <w:t xml:space="preserve"> </w:t>
      </w:r>
      <w:r>
        <w:rPr>
          <w:rFonts w:cstheme="minorHAnsi"/>
        </w:rPr>
        <w:t xml:space="preserve">has put the independence of the </w:t>
      </w:r>
      <w:r w:rsidR="00D01F96">
        <w:rPr>
          <w:rFonts w:cstheme="minorHAnsi"/>
        </w:rPr>
        <w:t xml:space="preserve">HRC </w:t>
      </w:r>
      <w:r>
        <w:rPr>
          <w:rFonts w:cstheme="minorHAnsi"/>
        </w:rPr>
        <w:t xml:space="preserve">at risk and will likely affect the A-rating of the Commission. UNDP consequently seized funding to the HRC in September 2018 and senior management </w:t>
      </w:r>
      <w:r w:rsidR="006035E8">
        <w:rPr>
          <w:rFonts w:cstheme="minorHAnsi"/>
        </w:rPr>
        <w:t>is</w:t>
      </w:r>
      <w:r>
        <w:rPr>
          <w:rFonts w:cstheme="minorHAnsi"/>
        </w:rPr>
        <w:t xml:space="preserve"> engaging closely with the executive in mitigation of the present situation. </w:t>
      </w:r>
    </w:p>
    <w:p w14:paraId="24B6F35A" w14:textId="77777777" w:rsidR="009B1E24" w:rsidRPr="009B1E24" w:rsidRDefault="009B1E24" w:rsidP="009924BE">
      <w:pPr>
        <w:pStyle w:val="Heading1"/>
      </w:pPr>
      <w:bookmarkStart w:id="10" w:name="_Toc503736516"/>
      <w:bookmarkStart w:id="11" w:name="_Toc401569389"/>
      <w:bookmarkEnd w:id="7"/>
      <w:r w:rsidRPr="009B1E24">
        <w:t>Indicators Based Performance Assessment</w:t>
      </w:r>
      <w:bookmarkEnd w:id="10"/>
    </w:p>
    <w:p w14:paraId="19A28110" w14:textId="77777777" w:rsidR="009B1E24" w:rsidRDefault="009B1E24" w:rsidP="009B1E24"/>
    <w:tbl>
      <w:tblPr>
        <w:tblStyle w:val="LightList-Accent1"/>
        <w:tblW w:w="9710" w:type="dxa"/>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shd w:val="clear" w:color="auto" w:fill="C4BC96" w:themeFill="background2" w:themeFillShade="BF"/>
        <w:tblLayout w:type="fixed"/>
        <w:tblLook w:val="00A0" w:firstRow="1" w:lastRow="0" w:firstColumn="1" w:lastColumn="0" w:noHBand="0" w:noVBand="0"/>
      </w:tblPr>
      <w:tblGrid>
        <w:gridCol w:w="1520"/>
        <w:gridCol w:w="1808"/>
        <w:gridCol w:w="1612"/>
        <w:gridCol w:w="1890"/>
        <w:gridCol w:w="1260"/>
        <w:gridCol w:w="1620"/>
      </w:tblGrid>
      <w:tr w:rsidR="00BA7772" w14:paraId="6D25719B" w14:textId="77777777" w:rsidTr="0006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C4BC96" w:themeFill="background2" w:themeFillShade="BF"/>
          </w:tcPr>
          <w:p w14:paraId="0A3E1397" w14:textId="77777777" w:rsidR="00BA7772" w:rsidRPr="00106A74" w:rsidRDefault="00BA7772" w:rsidP="00BA7772">
            <w:pPr>
              <w:pStyle w:val="ListParagraph"/>
              <w:ind w:left="0"/>
              <w:rPr>
                <w:color w:val="000000" w:themeColor="text1"/>
                <w:sz w:val="24"/>
                <w:szCs w:val="24"/>
              </w:rPr>
            </w:pPr>
            <w:r w:rsidRPr="00106A74">
              <w:rPr>
                <w:color w:val="000000" w:themeColor="text1"/>
                <w:sz w:val="24"/>
                <w:szCs w:val="24"/>
              </w:rPr>
              <w:t>Indicators</w:t>
            </w:r>
          </w:p>
        </w:tc>
        <w:tc>
          <w:tcPr>
            <w:cnfStyle w:val="000010000000" w:firstRow="0" w:lastRow="0" w:firstColumn="0" w:lastColumn="0" w:oddVBand="1" w:evenVBand="0" w:oddHBand="0" w:evenHBand="0" w:firstRowFirstColumn="0" w:firstRowLastColumn="0" w:lastRowFirstColumn="0" w:lastRowLastColumn="0"/>
            <w:tcW w:w="1808" w:type="dxa"/>
            <w:tcBorders>
              <w:top w:val="none" w:sz="0" w:space="0" w:color="auto"/>
              <w:left w:val="none" w:sz="0" w:space="0" w:color="auto"/>
              <w:right w:val="none" w:sz="0" w:space="0" w:color="auto"/>
            </w:tcBorders>
            <w:shd w:val="clear" w:color="auto" w:fill="C4BC96" w:themeFill="background2" w:themeFillShade="BF"/>
          </w:tcPr>
          <w:p w14:paraId="0A8233FE" w14:textId="77777777" w:rsidR="00BA7772" w:rsidRPr="00106A74" w:rsidRDefault="00BA7772" w:rsidP="00BA7772">
            <w:pPr>
              <w:pStyle w:val="ListParagraph"/>
              <w:ind w:left="0"/>
              <w:rPr>
                <w:color w:val="000000" w:themeColor="text1"/>
                <w:sz w:val="24"/>
                <w:szCs w:val="24"/>
              </w:rPr>
            </w:pPr>
            <w:r w:rsidRPr="00106A74">
              <w:rPr>
                <w:color w:val="000000" w:themeColor="text1"/>
                <w:sz w:val="24"/>
                <w:szCs w:val="24"/>
              </w:rPr>
              <w:t>Baseline</w:t>
            </w:r>
          </w:p>
        </w:tc>
        <w:tc>
          <w:tcPr>
            <w:tcW w:w="1612" w:type="dxa"/>
            <w:shd w:val="clear" w:color="auto" w:fill="C4BC96" w:themeFill="background2" w:themeFillShade="BF"/>
          </w:tcPr>
          <w:p w14:paraId="40114A3A" w14:textId="77777777" w:rsidR="00BA7772" w:rsidRPr="00106A74" w:rsidRDefault="00BA7772" w:rsidP="00BA7772">
            <w:pPr>
              <w:pStyle w:val="ListParagraph"/>
              <w:ind w:left="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106A74">
              <w:rPr>
                <w:color w:val="000000" w:themeColor="text1"/>
                <w:sz w:val="24"/>
                <w:szCs w:val="24"/>
              </w:rPr>
              <w:t>Target</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shd w:val="clear" w:color="auto" w:fill="C4BC96" w:themeFill="background2" w:themeFillShade="BF"/>
          </w:tcPr>
          <w:p w14:paraId="72595A53" w14:textId="77777777" w:rsidR="00BA7772" w:rsidRPr="00106A74" w:rsidRDefault="00BA7772" w:rsidP="00BA7772">
            <w:pPr>
              <w:pStyle w:val="ListParagraph"/>
              <w:ind w:left="0"/>
              <w:rPr>
                <w:color w:val="000000" w:themeColor="text1"/>
                <w:sz w:val="24"/>
                <w:szCs w:val="24"/>
              </w:rPr>
            </w:pPr>
            <w:r w:rsidRPr="00106A74">
              <w:rPr>
                <w:color w:val="000000" w:themeColor="text1"/>
                <w:sz w:val="24"/>
                <w:szCs w:val="24"/>
              </w:rPr>
              <w:t>Achieved Target (current Status)</w:t>
            </w:r>
          </w:p>
        </w:tc>
        <w:tc>
          <w:tcPr>
            <w:tcW w:w="1260" w:type="dxa"/>
            <w:shd w:val="clear" w:color="auto" w:fill="C4BC96" w:themeFill="background2" w:themeFillShade="BF"/>
          </w:tcPr>
          <w:p w14:paraId="68EB1863" w14:textId="77777777" w:rsidR="00BA7772" w:rsidRPr="00106A74" w:rsidRDefault="00BA7772" w:rsidP="00BA7772">
            <w:pPr>
              <w:pStyle w:val="ListParagraph"/>
              <w:ind w:left="0"/>
              <w:cnfStyle w:val="100000000000" w:firstRow="1" w:lastRow="0" w:firstColumn="0" w:lastColumn="0" w:oddVBand="0" w:evenVBand="0" w:oddHBand="0" w:evenHBand="0" w:firstRowFirstColumn="0" w:firstRowLastColumn="0" w:lastRowFirstColumn="0" w:lastRowLastColumn="0"/>
              <w:rPr>
                <w:bCs w:val="0"/>
                <w:color w:val="000000" w:themeColor="text1"/>
                <w:sz w:val="24"/>
                <w:szCs w:val="24"/>
              </w:rPr>
            </w:pPr>
            <w:r>
              <w:rPr>
                <w:bCs w:val="0"/>
                <w:color w:val="000000" w:themeColor="text1"/>
                <w:sz w:val="24"/>
                <w:szCs w:val="24"/>
              </w:rPr>
              <w:t>Reasons for Var</w:t>
            </w:r>
            <w:r w:rsidRPr="00106A74">
              <w:rPr>
                <w:bCs w:val="0"/>
                <w:color w:val="000000" w:themeColor="text1"/>
                <w:sz w:val="24"/>
                <w:szCs w:val="24"/>
              </w:rPr>
              <w:t>iance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right w:val="none" w:sz="0" w:space="0" w:color="auto"/>
            </w:tcBorders>
            <w:shd w:val="clear" w:color="auto" w:fill="C4BC96" w:themeFill="background2" w:themeFillShade="BF"/>
          </w:tcPr>
          <w:p w14:paraId="1E138015" w14:textId="70B4A732" w:rsidR="00BA7772" w:rsidRPr="00106A74" w:rsidRDefault="0004536C" w:rsidP="00BA7772">
            <w:pPr>
              <w:pStyle w:val="ListParagraph"/>
              <w:ind w:left="0"/>
              <w:rPr>
                <w:color w:val="000000" w:themeColor="text1"/>
                <w:sz w:val="24"/>
                <w:szCs w:val="24"/>
              </w:rPr>
            </w:pPr>
            <w:r>
              <w:rPr>
                <w:color w:val="000000" w:themeColor="text1"/>
                <w:sz w:val="24"/>
                <w:szCs w:val="24"/>
              </w:rPr>
              <w:t>Means</w:t>
            </w:r>
            <w:r w:rsidRPr="00106A74">
              <w:rPr>
                <w:color w:val="000000" w:themeColor="text1"/>
                <w:sz w:val="24"/>
                <w:szCs w:val="24"/>
              </w:rPr>
              <w:t xml:space="preserve"> </w:t>
            </w:r>
            <w:r w:rsidR="00BA7772" w:rsidRPr="00106A74">
              <w:rPr>
                <w:color w:val="000000" w:themeColor="text1"/>
                <w:sz w:val="24"/>
                <w:szCs w:val="24"/>
              </w:rPr>
              <w:t xml:space="preserve">of Verification </w:t>
            </w:r>
          </w:p>
        </w:tc>
      </w:tr>
      <w:tr w:rsidR="00BA7772" w14:paraId="7906B464" w14:textId="77777777" w:rsidTr="0006735A">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710"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tcPr>
          <w:p w14:paraId="50842831" w14:textId="77777777" w:rsidR="00BA7772" w:rsidRDefault="00BA7772" w:rsidP="00BA7772">
            <w:pPr>
              <w:pStyle w:val="ListParagraph"/>
              <w:ind w:left="0"/>
            </w:pPr>
            <w:r>
              <w:t>Project Results:</w:t>
            </w:r>
          </w:p>
        </w:tc>
      </w:tr>
      <w:tr w:rsidR="00BA7772" w14:paraId="61456E4B" w14:textId="77777777" w:rsidTr="0006735A">
        <w:trPr>
          <w:trHeight w:val="520"/>
        </w:trPr>
        <w:tc>
          <w:tcPr>
            <w:cnfStyle w:val="001000000000" w:firstRow="0" w:lastRow="0" w:firstColumn="1" w:lastColumn="0" w:oddVBand="0" w:evenVBand="0" w:oddHBand="0" w:evenHBand="0" w:firstRowFirstColumn="0" w:firstRowLastColumn="0" w:lastRowFirstColumn="0" w:lastRowLastColumn="0"/>
            <w:tcW w:w="9710" w:type="dxa"/>
            <w:gridSpan w:val="6"/>
            <w:shd w:val="clear" w:color="auto" w:fill="EEECE1" w:themeFill="background2"/>
          </w:tcPr>
          <w:p w14:paraId="1143634E" w14:textId="77777777" w:rsidR="00BA7772" w:rsidRDefault="004414BC" w:rsidP="00BA7772">
            <w:pPr>
              <w:pStyle w:val="ListParagraph"/>
              <w:ind w:left="0"/>
            </w:pPr>
            <w:r>
              <w:lastRenderedPageBreak/>
              <w:t>Output 1</w:t>
            </w:r>
            <w:r w:rsidR="00BA7772">
              <w:t xml:space="preserve">: </w:t>
            </w:r>
            <w:r w:rsidR="00BA7772" w:rsidRPr="00423EEC">
              <w:t xml:space="preserve">Justice and Security Sector Coordination and data management enhanced for inclusive, accountable and evidence-based policy and law making  </w:t>
            </w:r>
          </w:p>
        </w:tc>
      </w:tr>
      <w:tr w:rsidR="00F56F57" w14:paraId="0F4298A5"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3FA50D9C" w14:textId="77777777" w:rsidR="00F56F57" w:rsidRPr="009D5FBA" w:rsidRDefault="00F56F57" w:rsidP="00F56F57">
            <w:pPr>
              <w:rPr>
                <w:rFonts w:cstheme="minorHAnsi"/>
                <w:b w:val="0"/>
                <w:sz w:val="20"/>
                <w:szCs w:val="20"/>
              </w:rPr>
            </w:pPr>
            <w:r w:rsidRPr="009D5FBA">
              <w:rPr>
                <w:rFonts w:cstheme="minorHAnsi"/>
                <w:b w:val="0"/>
                <w:sz w:val="20"/>
                <w:szCs w:val="20"/>
              </w:rPr>
              <w:t>Pre-trial Detention Population (as % of total)</w:t>
            </w:r>
          </w:p>
          <w:p w14:paraId="3A07F5C2" w14:textId="77777777" w:rsidR="00F56F57" w:rsidRPr="009D5FBA" w:rsidDel="00A84123" w:rsidRDefault="00F56F57" w:rsidP="00F56F57">
            <w:pPr>
              <w:rPr>
                <w:rFonts w:cstheme="minorHAnsi"/>
                <w:i/>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5E6BF661" w14:textId="77777777" w:rsidR="00F56F57" w:rsidRPr="009D5FBA" w:rsidRDefault="002B329C" w:rsidP="00F56F57">
            <w:pPr>
              <w:rPr>
                <w:rFonts w:cstheme="minorHAnsi"/>
                <w:i/>
                <w:sz w:val="20"/>
                <w:szCs w:val="20"/>
                <w:lang w:eastAsia="en-GB"/>
              </w:rPr>
            </w:pPr>
            <w:r>
              <w:rPr>
                <w:rFonts w:cstheme="minorHAnsi"/>
                <w:i/>
                <w:sz w:val="20"/>
                <w:szCs w:val="20"/>
                <w:lang w:eastAsia="en-GB"/>
              </w:rPr>
              <w:t xml:space="preserve">- </w:t>
            </w:r>
            <w:r w:rsidR="00F56F57" w:rsidRPr="009D5FBA">
              <w:rPr>
                <w:rFonts w:cstheme="minorHAnsi"/>
                <w:i/>
                <w:sz w:val="20"/>
                <w:szCs w:val="20"/>
                <w:lang w:eastAsia="en-GB"/>
              </w:rPr>
              <w:t>Total number of inmates is 3,600 but prison capacity is less than 1,800 people</w:t>
            </w:r>
          </w:p>
          <w:p w14:paraId="6ED7DE72" w14:textId="77777777" w:rsidR="00F56F57" w:rsidRPr="009D5FBA" w:rsidRDefault="00F56F57" w:rsidP="00F56F57">
            <w:pPr>
              <w:rPr>
                <w:rFonts w:cstheme="minorHAnsi"/>
                <w:i/>
                <w:sz w:val="20"/>
                <w:szCs w:val="20"/>
                <w:lang w:eastAsia="en-GB"/>
              </w:rPr>
            </w:pPr>
            <w:r w:rsidRPr="009D5FBA">
              <w:rPr>
                <w:rFonts w:cstheme="minorHAnsi"/>
                <w:i/>
                <w:sz w:val="20"/>
                <w:szCs w:val="20"/>
                <w:lang w:eastAsia="en-GB"/>
              </w:rPr>
              <w:t>- 70% of prisons overcrowded:</w:t>
            </w:r>
          </w:p>
          <w:p w14:paraId="6A7DBB3D" w14:textId="77777777" w:rsidR="00F56F57" w:rsidRDefault="00F56F57" w:rsidP="00F56F57">
            <w:pPr>
              <w:rPr>
                <w:rFonts w:cstheme="minorHAnsi"/>
                <w:i/>
                <w:sz w:val="20"/>
                <w:szCs w:val="20"/>
                <w:lang w:eastAsia="en-GB"/>
              </w:rPr>
            </w:pPr>
            <w:r w:rsidRPr="009D5FBA">
              <w:rPr>
                <w:rFonts w:cstheme="minorHAnsi"/>
                <w:i/>
                <w:sz w:val="20"/>
                <w:szCs w:val="20"/>
                <w:lang w:eastAsia="en-GB"/>
              </w:rPr>
              <w:t>- 60% of all prisoners are in custody awaiting trial</w:t>
            </w:r>
          </w:p>
          <w:p w14:paraId="74850EDD" w14:textId="77777777" w:rsidR="002B329C" w:rsidRPr="009D5FBA" w:rsidRDefault="002B329C" w:rsidP="002B329C">
            <w:pPr>
              <w:rPr>
                <w:rFonts w:cstheme="minorHAnsi"/>
                <w:i/>
                <w:sz w:val="20"/>
                <w:szCs w:val="20"/>
                <w:lang w:eastAsia="en-GB"/>
              </w:rPr>
            </w:pPr>
            <w:r w:rsidRPr="009D5FBA">
              <w:rPr>
                <w:rFonts w:cstheme="minorHAnsi"/>
                <w:i/>
                <w:sz w:val="20"/>
                <w:szCs w:val="20"/>
                <w:lang w:eastAsia="en-GB"/>
              </w:rPr>
              <w:t>- Lack of easy access to data on % of people on remand in pre-trial detention and length of actual detention before trial</w:t>
            </w:r>
          </w:p>
          <w:p w14:paraId="2F983038" w14:textId="77777777" w:rsidR="002B329C" w:rsidRPr="009D5FBA" w:rsidRDefault="002B329C" w:rsidP="00F56F57">
            <w:pPr>
              <w:rPr>
                <w:rFonts w:cstheme="minorHAnsi"/>
                <w:i/>
                <w:sz w:val="20"/>
                <w:szCs w:val="20"/>
                <w:lang w:eastAsia="en-GB"/>
              </w:rPr>
            </w:pPr>
          </w:p>
          <w:p w14:paraId="7C7E989A" w14:textId="77777777" w:rsidR="00F56F57" w:rsidRPr="009D5FBA" w:rsidRDefault="00F56F57" w:rsidP="00F56F57">
            <w:pPr>
              <w:jc w:val="center"/>
              <w:rPr>
                <w:rFonts w:cstheme="minorHAnsi"/>
                <w:sz w:val="20"/>
                <w:szCs w:val="20"/>
              </w:rPr>
            </w:pPr>
          </w:p>
        </w:tc>
        <w:tc>
          <w:tcPr>
            <w:tcW w:w="1612" w:type="dxa"/>
            <w:shd w:val="clear" w:color="auto" w:fill="auto"/>
          </w:tcPr>
          <w:p w14:paraId="1FB137FF" w14:textId="77777777" w:rsidR="00F56F57" w:rsidRPr="009D5FBA" w:rsidRDefault="00F56F57" w:rsidP="00F56F57">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9D5FBA">
              <w:rPr>
                <w:rFonts w:cstheme="minorHAnsi"/>
                <w:i/>
                <w:sz w:val="20"/>
                <w:szCs w:val="20"/>
              </w:rPr>
              <w:t>-25% decrease of pre-trial detention population</w:t>
            </w:r>
          </w:p>
          <w:p w14:paraId="6CBDE26A" w14:textId="77777777" w:rsidR="00F56F57" w:rsidRPr="009D5FBA" w:rsidRDefault="00F56F57" w:rsidP="00F56F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BA3DFDD" w14:textId="77777777" w:rsidR="00F56F57" w:rsidRDefault="008D050C" w:rsidP="008D050C">
            <w:pPr>
              <w:rPr>
                <w:b/>
                <w:sz w:val="20"/>
                <w:szCs w:val="20"/>
                <w:lang w:val="en-GB" w:eastAsia="en-GB"/>
              </w:rPr>
            </w:pPr>
            <w:r>
              <w:rPr>
                <w:rFonts w:cstheme="minorHAnsi"/>
                <w:sz w:val="20"/>
                <w:szCs w:val="20"/>
              </w:rPr>
              <w:t>Accommodation Master Plan</w:t>
            </w:r>
            <w:r w:rsidR="002B329C">
              <w:rPr>
                <w:rFonts w:cstheme="minorHAnsi"/>
                <w:sz w:val="20"/>
                <w:szCs w:val="20"/>
              </w:rPr>
              <w:t xml:space="preserve"> developed in 2017</w:t>
            </w:r>
            <w:r>
              <w:rPr>
                <w:rFonts w:cstheme="minorHAnsi"/>
                <w:sz w:val="20"/>
                <w:szCs w:val="20"/>
              </w:rPr>
              <w:t xml:space="preserve"> reveals SLCS actual capacity to be</w:t>
            </w:r>
            <w:r w:rsidR="002B329C">
              <w:rPr>
                <w:rFonts w:cstheme="minorHAnsi"/>
                <w:sz w:val="20"/>
                <w:szCs w:val="20"/>
              </w:rPr>
              <w:t xml:space="preserve"> larger than or</w:t>
            </w:r>
            <w:r w:rsidR="00F634B5">
              <w:rPr>
                <w:rFonts w:cstheme="minorHAnsi"/>
                <w:sz w:val="20"/>
                <w:szCs w:val="20"/>
              </w:rPr>
              <w:t>i</w:t>
            </w:r>
            <w:r w:rsidR="002B329C">
              <w:rPr>
                <w:rFonts w:cstheme="minorHAnsi"/>
                <w:sz w:val="20"/>
                <w:szCs w:val="20"/>
              </w:rPr>
              <w:t xml:space="preserve">ginally expected – </w:t>
            </w:r>
            <w:r w:rsidR="002B329C">
              <w:rPr>
                <w:b/>
                <w:sz w:val="20"/>
                <w:szCs w:val="20"/>
                <w:lang w:val="en-GB" w:eastAsia="en-GB"/>
              </w:rPr>
              <w:t xml:space="preserve">1935. </w:t>
            </w:r>
          </w:p>
          <w:p w14:paraId="68CFF5BA" w14:textId="77777777" w:rsidR="002B329C" w:rsidRDefault="002B329C" w:rsidP="008D050C">
            <w:pPr>
              <w:rPr>
                <w:b/>
                <w:sz w:val="20"/>
                <w:szCs w:val="20"/>
                <w:lang w:val="en-GB" w:eastAsia="en-GB"/>
              </w:rPr>
            </w:pPr>
          </w:p>
          <w:p w14:paraId="0D12D59D" w14:textId="2E9453C9" w:rsidR="002B329C" w:rsidRPr="002B329C" w:rsidRDefault="002B329C" w:rsidP="002B329C">
            <w:pPr>
              <w:rPr>
                <w:rFonts w:cstheme="minorHAnsi"/>
                <w:sz w:val="20"/>
                <w:szCs w:val="20"/>
              </w:rPr>
            </w:pPr>
            <w:r>
              <w:rPr>
                <w:rFonts w:cstheme="minorHAnsi"/>
                <w:sz w:val="20"/>
                <w:szCs w:val="20"/>
              </w:rPr>
              <w:t>Pre-trial and remand population has varied over 201</w:t>
            </w:r>
            <w:r w:rsidR="006E0221">
              <w:rPr>
                <w:rFonts w:cstheme="minorHAnsi"/>
                <w:sz w:val="20"/>
                <w:szCs w:val="20"/>
              </w:rPr>
              <w:t>8</w:t>
            </w:r>
            <w:r>
              <w:rPr>
                <w:rFonts w:cstheme="minorHAnsi"/>
                <w:sz w:val="20"/>
                <w:szCs w:val="20"/>
              </w:rPr>
              <w:t xml:space="preserve"> between </w:t>
            </w:r>
            <w:r w:rsidR="0004536C">
              <w:rPr>
                <w:rFonts w:cstheme="minorHAnsi"/>
                <w:sz w:val="20"/>
                <w:szCs w:val="20"/>
              </w:rPr>
              <w:t>4</w:t>
            </w:r>
            <w:r w:rsidR="0088145D">
              <w:rPr>
                <w:rFonts w:cstheme="minorHAnsi"/>
                <w:sz w:val="20"/>
                <w:szCs w:val="20"/>
              </w:rPr>
              <w:t>4 - 47</w:t>
            </w:r>
            <w:r w:rsidR="0004536C">
              <w:rPr>
                <w:rFonts w:cstheme="minorHAnsi"/>
                <w:sz w:val="20"/>
                <w:szCs w:val="20"/>
              </w:rPr>
              <w:t xml:space="preserve"> </w:t>
            </w:r>
            <w:r w:rsidR="004414BC">
              <w:rPr>
                <w:rFonts w:cstheme="minorHAnsi"/>
                <w:sz w:val="20"/>
                <w:szCs w:val="20"/>
              </w:rPr>
              <w:t xml:space="preserve">% </w:t>
            </w:r>
            <w:r>
              <w:rPr>
                <w:rFonts w:cstheme="minorHAnsi"/>
                <w:sz w:val="20"/>
                <w:szCs w:val="20"/>
              </w:rPr>
              <w:t>depending on Correctional Facility.</w:t>
            </w:r>
          </w:p>
        </w:tc>
        <w:tc>
          <w:tcPr>
            <w:tcW w:w="1260" w:type="dxa"/>
            <w:shd w:val="clear" w:color="auto" w:fill="auto"/>
          </w:tcPr>
          <w:p w14:paraId="269990DF" w14:textId="77777777" w:rsidR="004414BC" w:rsidRDefault="004414BC"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target of the reduction in</w:t>
            </w:r>
            <w:r w:rsidR="006E0221">
              <w:rPr>
                <w:rFonts w:cstheme="minorHAnsi"/>
                <w:sz w:val="20"/>
                <w:szCs w:val="20"/>
              </w:rPr>
              <w:t xml:space="preserve"> </w:t>
            </w:r>
            <w:r>
              <w:rPr>
                <w:rFonts w:cstheme="minorHAnsi"/>
                <w:sz w:val="20"/>
                <w:szCs w:val="20"/>
              </w:rPr>
              <w:t xml:space="preserve">25 % is set for 31 December 2019. </w:t>
            </w:r>
          </w:p>
          <w:p w14:paraId="6C5794A0" w14:textId="77777777" w:rsidR="004414BC" w:rsidRDefault="004414BC"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EDA141" w14:textId="19F21173" w:rsidR="004414BC" w:rsidRPr="009D5FBA" w:rsidRDefault="004414BC" w:rsidP="004414B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Progress </w:t>
            </w:r>
            <w:r w:rsidR="006E0221">
              <w:rPr>
                <w:rFonts w:cstheme="minorHAnsi"/>
                <w:sz w:val="20"/>
                <w:szCs w:val="20"/>
              </w:rPr>
              <w:t>made in 2018 varies between 6</w:t>
            </w:r>
            <w:r>
              <w:rPr>
                <w:rFonts w:cstheme="minorHAnsi"/>
                <w:sz w:val="20"/>
                <w:szCs w:val="20"/>
              </w:rPr>
              <w:t>-</w:t>
            </w:r>
            <w:r w:rsidR="006E0221">
              <w:rPr>
                <w:rFonts w:cstheme="minorHAnsi"/>
                <w:sz w:val="20"/>
                <w:szCs w:val="20"/>
              </w:rPr>
              <w:t>8</w:t>
            </w:r>
            <w:r>
              <w:rPr>
                <w:rFonts w:cstheme="minorHAnsi"/>
                <w:sz w:val="20"/>
                <w:szCs w:val="20"/>
              </w:rPr>
              <w:t xml:space="preserve"> % in 201</w:t>
            </w:r>
            <w:r w:rsidR="006E0221">
              <w:rPr>
                <w:rFonts w:cstheme="minorHAnsi"/>
                <w:sz w:val="20"/>
                <w:szCs w:val="20"/>
              </w:rPr>
              <w:t>8</w:t>
            </w:r>
            <w:r>
              <w:rPr>
                <w:rFonts w:cstheme="minorHAnsi"/>
                <w:sz w:val="20"/>
                <w:szCs w:val="20"/>
              </w:rPr>
              <w:t xml:space="preserve">. Based on the judicial reforms, the recent approval of bail regulations, the </w:t>
            </w:r>
            <w:r w:rsidR="006E0221">
              <w:rPr>
                <w:rFonts w:cstheme="minorHAnsi"/>
                <w:sz w:val="20"/>
                <w:szCs w:val="20"/>
              </w:rPr>
              <w:t xml:space="preserve">limited </w:t>
            </w:r>
            <w:r>
              <w:rPr>
                <w:rFonts w:cstheme="minorHAnsi"/>
                <w:sz w:val="20"/>
                <w:szCs w:val="20"/>
              </w:rPr>
              <w:t xml:space="preserve">progress on implementation of Prison Courts, CMS systems, the pre-trial and remand population </w:t>
            </w:r>
            <w:r w:rsidR="0069118D">
              <w:rPr>
                <w:rFonts w:cstheme="minorHAnsi"/>
                <w:sz w:val="20"/>
                <w:szCs w:val="20"/>
              </w:rPr>
              <w:t xml:space="preserve">has </w:t>
            </w:r>
            <w:r>
              <w:rPr>
                <w:rFonts w:cstheme="minorHAnsi"/>
                <w:sz w:val="20"/>
                <w:szCs w:val="20"/>
              </w:rPr>
              <w:t>reduce</w:t>
            </w:r>
            <w:r w:rsidR="0069118D">
              <w:rPr>
                <w:rFonts w:cstheme="minorHAnsi"/>
                <w:sz w:val="20"/>
                <w:szCs w:val="20"/>
              </w:rPr>
              <w:t>d</w:t>
            </w:r>
            <w:r>
              <w:rPr>
                <w:rFonts w:cstheme="minorHAnsi"/>
                <w:sz w:val="20"/>
                <w:szCs w:val="20"/>
              </w:rPr>
              <w:t xml:space="preserve"> </w:t>
            </w:r>
            <w:r w:rsidR="0004536C">
              <w:rPr>
                <w:rFonts w:cstheme="minorHAnsi"/>
                <w:sz w:val="20"/>
                <w:szCs w:val="20"/>
              </w:rPr>
              <w:t>with 11 %</w:t>
            </w:r>
            <w:r>
              <w:rPr>
                <w:rFonts w:cstheme="minorHAnsi"/>
                <w:sz w:val="20"/>
                <w:szCs w:val="20"/>
              </w:rPr>
              <w:t xml:space="preserve"> in 2018.</w:t>
            </w:r>
          </w:p>
          <w:p w14:paraId="15502072" w14:textId="77777777" w:rsidR="00F56F57" w:rsidRPr="009D5FBA" w:rsidRDefault="00F56F57"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DF96332" w14:textId="77777777" w:rsidR="00F56F57" w:rsidRDefault="002B329C" w:rsidP="00F56F57">
            <w:pPr>
              <w:pStyle w:val="ListParagraph"/>
              <w:ind w:left="0"/>
              <w:rPr>
                <w:rFonts w:cstheme="minorHAnsi"/>
                <w:sz w:val="20"/>
                <w:szCs w:val="20"/>
              </w:rPr>
            </w:pPr>
            <w:r>
              <w:rPr>
                <w:rFonts w:cstheme="minorHAnsi"/>
                <w:sz w:val="20"/>
                <w:szCs w:val="20"/>
              </w:rPr>
              <w:t xml:space="preserve">Accommodation Master Plan </w:t>
            </w:r>
          </w:p>
          <w:p w14:paraId="235F4E55" w14:textId="77777777" w:rsidR="004414BC" w:rsidRDefault="004414BC" w:rsidP="00F56F57">
            <w:pPr>
              <w:pStyle w:val="ListParagraph"/>
              <w:ind w:left="0"/>
              <w:rPr>
                <w:rFonts w:cstheme="minorHAnsi"/>
                <w:sz w:val="20"/>
                <w:szCs w:val="20"/>
              </w:rPr>
            </w:pPr>
          </w:p>
          <w:p w14:paraId="1A4CCC34" w14:textId="77777777" w:rsidR="004414BC" w:rsidRPr="009D5FBA" w:rsidRDefault="006E0221" w:rsidP="00F56F57">
            <w:pPr>
              <w:pStyle w:val="ListParagraph"/>
              <w:ind w:left="0"/>
              <w:rPr>
                <w:rFonts w:cstheme="minorHAnsi"/>
                <w:sz w:val="20"/>
                <w:szCs w:val="20"/>
              </w:rPr>
            </w:pPr>
            <w:r>
              <w:rPr>
                <w:rFonts w:cstheme="minorHAnsi"/>
                <w:sz w:val="20"/>
                <w:szCs w:val="20"/>
              </w:rPr>
              <w:t>Prison court sittings report for 2018</w:t>
            </w:r>
            <w:r w:rsidR="004414BC">
              <w:rPr>
                <w:rFonts w:cstheme="minorHAnsi"/>
                <w:sz w:val="20"/>
                <w:szCs w:val="20"/>
              </w:rPr>
              <w:t xml:space="preserve"> </w:t>
            </w:r>
          </w:p>
        </w:tc>
      </w:tr>
      <w:tr w:rsidR="00F56F57" w14:paraId="6E141EBB"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08E6BCCC" w14:textId="77777777" w:rsidR="00F56F57" w:rsidRPr="009D5FBA" w:rsidDel="00A84123" w:rsidRDefault="00F56F57" w:rsidP="00F56F57">
            <w:pPr>
              <w:rPr>
                <w:rFonts w:cstheme="minorHAnsi"/>
                <w:b w:val="0"/>
                <w:sz w:val="20"/>
                <w:szCs w:val="20"/>
              </w:rPr>
            </w:pPr>
            <w:r w:rsidRPr="009D5FBA">
              <w:rPr>
                <w:rFonts w:cstheme="minorHAnsi"/>
                <w:b w:val="0"/>
                <w:sz w:val="20"/>
                <w:szCs w:val="20"/>
                <w:lang w:eastAsia="en-GB"/>
              </w:rPr>
              <w:t># of criminal justice sector policies, plans, actions and laws informed by data analysis and public consultation inclusive of women and vulnerable groups</w:t>
            </w:r>
            <w:r w:rsidRPr="009D5FBA">
              <w:rPr>
                <w:rFonts w:cstheme="minorHAnsi"/>
                <w:b w:val="0"/>
                <w:sz w:val="20"/>
                <w:szCs w:val="20"/>
              </w:rPr>
              <w:t xml:space="preserve"> </w:t>
            </w:r>
          </w:p>
          <w:p w14:paraId="16E5A332" w14:textId="77777777" w:rsidR="00F56F57" w:rsidRPr="009D5FBA" w:rsidRDefault="00F56F57" w:rsidP="00F56F57">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02B27AC7" w14:textId="77777777" w:rsidR="0039476D" w:rsidRPr="0039476D" w:rsidRDefault="0039476D" w:rsidP="0039476D">
            <w:pPr>
              <w:rPr>
                <w:rFonts w:cstheme="minorHAnsi"/>
                <w:i/>
                <w:sz w:val="20"/>
                <w:szCs w:val="20"/>
                <w:lang w:eastAsia="en-GB"/>
              </w:rPr>
            </w:pPr>
            <w:r w:rsidRPr="0039476D">
              <w:rPr>
                <w:rFonts w:cstheme="minorHAnsi"/>
                <w:i/>
                <w:sz w:val="20"/>
                <w:szCs w:val="20"/>
                <w:lang w:eastAsia="en-GB"/>
              </w:rPr>
              <w:t>Lack of data on the criminal justice chain</w:t>
            </w:r>
          </w:p>
          <w:p w14:paraId="141CCDF5" w14:textId="77777777" w:rsidR="0039476D" w:rsidRPr="0039476D" w:rsidRDefault="0039476D" w:rsidP="0039476D">
            <w:pPr>
              <w:rPr>
                <w:rFonts w:cstheme="minorHAnsi"/>
                <w:i/>
                <w:sz w:val="20"/>
                <w:szCs w:val="20"/>
                <w:lang w:eastAsia="en-GB"/>
              </w:rPr>
            </w:pPr>
            <w:r w:rsidRPr="0039476D">
              <w:rPr>
                <w:rFonts w:cstheme="minorHAnsi"/>
                <w:i/>
                <w:sz w:val="20"/>
                <w:szCs w:val="20"/>
                <w:lang w:eastAsia="en-GB"/>
              </w:rPr>
              <w:t>- Lack of easy access to data on % of people on remand in pre-trial detention and length of actual detention before trial</w:t>
            </w:r>
          </w:p>
          <w:p w14:paraId="3015E32F" w14:textId="77777777" w:rsidR="00F56F57" w:rsidRPr="009D5FBA" w:rsidRDefault="00F56F57" w:rsidP="00F56F57">
            <w:pPr>
              <w:pStyle w:val="ListParagraph"/>
              <w:ind w:left="0"/>
              <w:rPr>
                <w:rFonts w:cstheme="minorHAnsi"/>
                <w:bCs/>
                <w:sz w:val="20"/>
                <w:szCs w:val="20"/>
              </w:rPr>
            </w:pPr>
          </w:p>
        </w:tc>
        <w:tc>
          <w:tcPr>
            <w:tcW w:w="1612" w:type="dxa"/>
            <w:shd w:val="clear" w:color="auto" w:fill="auto"/>
          </w:tcPr>
          <w:p w14:paraId="52B94EE0" w14:textId="77777777" w:rsidR="00F56F57" w:rsidRDefault="00F56F57" w:rsidP="00F56F5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9D5FBA">
              <w:rPr>
                <w:rFonts w:cstheme="minorHAnsi"/>
                <w:i/>
                <w:sz w:val="20"/>
                <w:szCs w:val="20"/>
              </w:rPr>
              <w:t xml:space="preserve">-65 % of gender-sensitive policy, plans, actions and </w:t>
            </w:r>
            <w:proofErr w:type="gramStart"/>
            <w:r w:rsidRPr="009D5FBA">
              <w:rPr>
                <w:rFonts w:cstheme="minorHAnsi"/>
                <w:i/>
                <w:sz w:val="20"/>
                <w:szCs w:val="20"/>
              </w:rPr>
              <w:t>law making</w:t>
            </w:r>
            <w:proofErr w:type="gramEnd"/>
            <w:r w:rsidRPr="009D5FBA">
              <w:rPr>
                <w:rFonts w:cstheme="minorHAnsi"/>
                <w:i/>
                <w:sz w:val="20"/>
                <w:szCs w:val="20"/>
              </w:rPr>
              <w:t xml:space="preserve"> progress in the criminal justice sector which are informed by available evidence, public consultation and increased coordination in the sector </w:t>
            </w:r>
          </w:p>
          <w:p w14:paraId="2A13C82F" w14:textId="77777777" w:rsidR="0039476D" w:rsidRPr="009D5FBA" w:rsidRDefault="0039476D" w:rsidP="00F56F5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14:paraId="53F380A0" w14:textId="77777777" w:rsidR="00F56F57" w:rsidRPr="009D5FBA" w:rsidRDefault="00F56F57" w:rsidP="00F56F57">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9D5FBA">
              <w:rPr>
                <w:rFonts w:cstheme="minorHAnsi"/>
                <w:i/>
                <w:sz w:val="20"/>
                <w:szCs w:val="20"/>
              </w:rPr>
              <w:t xml:space="preserve">- 35% improvement in perceptions on the criminal justice sector in target districts  </w:t>
            </w:r>
          </w:p>
          <w:p w14:paraId="3F9A53E4" w14:textId="77777777" w:rsidR="00F56F57" w:rsidRPr="009D5FBA" w:rsidRDefault="00F56F57"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1E911C89" w14:textId="77777777" w:rsidR="00F56F57" w:rsidRDefault="0039476D" w:rsidP="00F56F57">
            <w:pPr>
              <w:pStyle w:val="ListParagraph"/>
              <w:ind w:left="0"/>
              <w:rPr>
                <w:rFonts w:cstheme="minorHAnsi"/>
                <w:sz w:val="20"/>
                <w:szCs w:val="20"/>
              </w:rPr>
            </w:pPr>
            <w:r>
              <w:rPr>
                <w:rFonts w:cstheme="minorHAnsi"/>
                <w:sz w:val="20"/>
                <w:szCs w:val="20"/>
              </w:rPr>
              <w:lastRenderedPageBreak/>
              <w:t xml:space="preserve">Gender sensitive Bail Regulations </w:t>
            </w:r>
            <w:r w:rsidR="007458F1">
              <w:rPr>
                <w:rFonts w:cstheme="minorHAnsi"/>
                <w:sz w:val="20"/>
                <w:szCs w:val="20"/>
              </w:rPr>
              <w:t>progressively being applied by the Judiciary in 2018</w:t>
            </w:r>
            <w:r>
              <w:rPr>
                <w:rFonts w:cstheme="minorHAnsi"/>
                <w:sz w:val="20"/>
                <w:szCs w:val="20"/>
              </w:rPr>
              <w:t xml:space="preserve"> </w:t>
            </w:r>
          </w:p>
          <w:p w14:paraId="40006AEB" w14:textId="77777777" w:rsidR="0039476D" w:rsidRDefault="0039476D" w:rsidP="00F56F57">
            <w:pPr>
              <w:pStyle w:val="ListParagraph"/>
              <w:ind w:left="0"/>
              <w:rPr>
                <w:rFonts w:cstheme="minorHAnsi"/>
                <w:sz w:val="20"/>
                <w:szCs w:val="20"/>
              </w:rPr>
            </w:pPr>
          </w:p>
          <w:p w14:paraId="6B128738" w14:textId="1A06A6BB" w:rsidR="0039476D" w:rsidRDefault="007458F1" w:rsidP="00F56F57">
            <w:pPr>
              <w:pStyle w:val="ListParagraph"/>
              <w:ind w:left="0"/>
              <w:rPr>
                <w:rFonts w:cstheme="minorHAnsi"/>
                <w:sz w:val="20"/>
                <w:szCs w:val="20"/>
              </w:rPr>
            </w:pPr>
            <w:r>
              <w:rPr>
                <w:rFonts w:cstheme="minorHAnsi"/>
                <w:sz w:val="20"/>
                <w:szCs w:val="20"/>
              </w:rPr>
              <w:t xml:space="preserve">2014 </w:t>
            </w:r>
            <w:r w:rsidR="0039476D">
              <w:rPr>
                <w:rFonts w:cstheme="minorHAnsi"/>
                <w:sz w:val="20"/>
                <w:szCs w:val="20"/>
              </w:rPr>
              <w:t xml:space="preserve">Correctional Act </w:t>
            </w:r>
            <w:r>
              <w:rPr>
                <w:rFonts w:cstheme="minorHAnsi"/>
                <w:sz w:val="20"/>
                <w:szCs w:val="20"/>
              </w:rPr>
              <w:t xml:space="preserve">and 1961 </w:t>
            </w:r>
            <w:r w:rsidR="0004536C">
              <w:rPr>
                <w:rFonts w:cstheme="minorHAnsi"/>
                <w:sz w:val="20"/>
                <w:szCs w:val="20"/>
              </w:rPr>
              <w:t xml:space="preserve">Prison </w:t>
            </w:r>
            <w:r>
              <w:rPr>
                <w:rFonts w:cstheme="minorHAnsi"/>
                <w:sz w:val="20"/>
                <w:szCs w:val="20"/>
              </w:rPr>
              <w:t xml:space="preserve">Rules </w:t>
            </w:r>
            <w:r w:rsidR="0039476D">
              <w:rPr>
                <w:rFonts w:cstheme="minorHAnsi"/>
                <w:sz w:val="20"/>
                <w:szCs w:val="20"/>
              </w:rPr>
              <w:t xml:space="preserve">revised </w:t>
            </w:r>
            <w:r>
              <w:rPr>
                <w:rFonts w:cstheme="minorHAnsi"/>
                <w:sz w:val="20"/>
                <w:szCs w:val="20"/>
              </w:rPr>
              <w:t xml:space="preserve">and submitted to the MIA for </w:t>
            </w:r>
            <w:r w:rsidR="0004536C">
              <w:rPr>
                <w:rFonts w:cstheme="minorHAnsi"/>
                <w:sz w:val="20"/>
                <w:szCs w:val="20"/>
              </w:rPr>
              <w:t xml:space="preserve">approval and progression through Correctional </w:t>
            </w:r>
            <w:r w:rsidR="0004536C">
              <w:rPr>
                <w:rFonts w:cstheme="minorHAnsi"/>
                <w:sz w:val="20"/>
                <w:szCs w:val="20"/>
              </w:rPr>
              <w:lastRenderedPageBreak/>
              <w:t>Council, Cabinet and Parliament</w:t>
            </w:r>
            <w:r w:rsidR="0039476D">
              <w:rPr>
                <w:rFonts w:cstheme="minorHAnsi"/>
                <w:sz w:val="20"/>
                <w:szCs w:val="20"/>
              </w:rPr>
              <w:t xml:space="preserve"> </w:t>
            </w:r>
          </w:p>
          <w:p w14:paraId="40DA64FB" w14:textId="77777777" w:rsidR="0039476D" w:rsidRDefault="0039476D" w:rsidP="00F56F57">
            <w:pPr>
              <w:pStyle w:val="ListParagraph"/>
              <w:ind w:left="0"/>
              <w:rPr>
                <w:rFonts w:cstheme="minorHAnsi"/>
                <w:sz w:val="20"/>
                <w:szCs w:val="20"/>
              </w:rPr>
            </w:pPr>
          </w:p>
          <w:p w14:paraId="1560D1EB" w14:textId="77777777" w:rsidR="0039476D" w:rsidRPr="0039476D" w:rsidRDefault="0039476D" w:rsidP="00F56F57">
            <w:pPr>
              <w:pStyle w:val="ListParagraph"/>
              <w:ind w:left="0"/>
              <w:rPr>
                <w:rFonts w:cstheme="minorHAnsi"/>
                <w:sz w:val="20"/>
                <w:szCs w:val="20"/>
              </w:rPr>
            </w:pPr>
            <w:r>
              <w:rPr>
                <w:rFonts w:cstheme="minorHAnsi"/>
                <w:sz w:val="20"/>
                <w:szCs w:val="20"/>
              </w:rPr>
              <w:t xml:space="preserve">Revised CPA </w:t>
            </w:r>
            <w:r w:rsidRPr="0039476D">
              <w:rPr>
                <w:rFonts w:cstheme="minorHAnsi"/>
                <w:sz w:val="20"/>
                <w:szCs w:val="20"/>
              </w:rPr>
              <w:t xml:space="preserve">presented to Parliament </w:t>
            </w:r>
            <w:r w:rsidR="00A558A6">
              <w:rPr>
                <w:rFonts w:cstheme="minorHAnsi"/>
                <w:sz w:val="20"/>
                <w:szCs w:val="20"/>
              </w:rPr>
              <w:t>and yet to be enacted</w:t>
            </w:r>
          </w:p>
          <w:p w14:paraId="3E61EAF4" w14:textId="77777777" w:rsidR="0039476D" w:rsidRPr="0039476D" w:rsidRDefault="0039476D" w:rsidP="00F56F57">
            <w:pPr>
              <w:pStyle w:val="ListParagraph"/>
              <w:ind w:left="0"/>
              <w:rPr>
                <w:rFonts w:cstheme="minorHAnsi"/>
                <w:sz w:val="20"/>
                <w:szCs w:val="20"/>
              </w:rPr>
            </w:pPr>
          </w:p>
          <w:p w14:paraId="4D7F7086" w14:textId="77777777" w:rsidR="0039476D" w:rsidRPr="009D5FBA" w:rsidRDefault="0039476D" w:rsidP="00F56F57">
            <w:pPr>
              <w:pStyle w:val="ListParagraph"/>
              <w:ind w:left="0"/>
              <w:rPr>
                <w:rFonts w:cstheme="minorHAnsi"/>
                <w:sz w:val="20"/>
                <w:szCs w:val="20"/>
              </w:rPr>
            </w:pPr>
          </w:p>
        </w:tc>
        <w:tc>
          <w:tcPr>
            <w:tcW w:w="1260" w:type="dxa"/>
            <w:shd w:val="clear" w:color="auto" w:fill="auto"/>
          </w:tcPr>
          <w:p w14:paraId="2D0CB560" w14:textId="77777777" w:rsidR="0039476D" w:rsidRDefault="0039476D"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On target except for CPA still not passed.</w:t>
            </w:r>
          </w:p>
          <w:p w14:paraId="5B96DE8B" w14:textId="77777777" w:rsidR="0039476D" w:rsidRDefault="0039476D"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5E45CF4" w14:textId="77777777" w:rsidR="0039476D" w:rsidRDefault="0039476D"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CECA0A" w14:textId="77777777" w:rsidR="0039476D" w:rsidRPr="009D5FBA" w:rsidRDefault="0039476D"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Target 2019</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C29D3D2" w14:textId="0B5F1B5E" w:rsidR="00BB7D36" w:rsidRDefault="00BB7D36" w:rsidP="00F56F57">
            <w:pPr>
              <w:pStyle w:val="ListParagraph"/>
              <w:ind w:left="0"/>
              <w:rPr>
                <w:rFonts w:cstheme="minorHAnsi"/>
                <w:sz w:val="20"/>
                <w:szCs w:val="20"/>
              </w:rPr>
            </w:pPr>
            <w:r>
              <w:rPr>
                <w:rFonts w:cstheme="minorHAnsi"/>
                <w:sz w:val="20"/>
                <w:szCs w:val="20"/>
              </w:rPr>
              <w:t>Bail Regulations 201</w:t>
            </w:r>
            <w:r w:rsidR="0088145D">
              <w:rPr>
                <w:rFonts w:cstheme="minorHAnsi"/>
                <w:sz w:val="20"/>
                <w:szCs w:val="20"/>
              </w:rPr>
              <w:t>8</w:t>
            </w:r>
            <w:r>
              <w:rPr>
                <w:rFonts w:cstheme="minorHAnsi"/>
                <w:sz w:val="20"/>
                <w:szCs w:val="20"/>
              </w:rPr>
              <w:t>,</w:t>
            </w:r>
          </w:p>
          <w:p w14:paraId="1BB0189A" w14:textId="77777777" w:rsidR="00BB7D36" w:rsidRDefault="00BB7D36" w:rsidP="00F56F57">
            <w:pPr>
              <w:pStyle w:val="ListParagraph"/>
              <w:ind w:left="0"/>
              <w:rPr>
                <w:rFonts w:cstheme="minorHAnsi"/>
                <w:sz w:val="20"/>
                <w:szCs w:val="20"/>
              </w:rPr>
            </w:pPr>
          </w:p>
          <w:p w14:paraId="4DAC826B" w14:textId="0736AB61" w:rsidR="00F56F57" w:rsidRPr="009D5FBA" w:rsidRDefault="00BB7D36" w:rsidP="00F56F57">
            <w:pPr>
              <w:pStyle w:val="ListParagraph"/>
              <w:ind w:left="0"/>
              <w:rPr>
                <w:rFonts w:cstheme="minorHAnsi"/>
                <w:sz w:val="20"/>
                <w:szCs w:val="20"/>
              </w:rPr>
            </w:pPr>
            <w:r>
              <w:rPr>
                <w:rFonts w:cstheme="minorHAnsi"/>
                <w:sz w:val="20"/>
                <w:szCs w:val="20"/>
              </w:rPr>
              <w:t>Draft revised</w:t>
            </w:r>
            <w:r w:rsidR="00A558A6">
              <w:rPr>
                <w:rFonts w:cstheme="minorHAnsi"/>
                <w:sz w:val="20"/>
                <w:szCs w:val="20"/>
              </w:rPr>
              <w:t xml:space="preserve"> 2014</w:t>
            </w:r>
            <w:r>
              <w:rPr>
                <w:rFonts w:cstheme="minorHAnsi"/>
                <w:sz w:val="20"/>
                <w:szCs w:val="20"/>
              </w:rPr>
              <w:t xml:space="preserve"> Correctional Act</w:t>
            </w:r>
            <w:r w:rsidR="00A558A6">
              <w:rPr>
                <w:rFonts w:cstheme="minorHAnsi"/>
                <w:sz w:val="20"/>
                <w:szCs w:val="20"/>
              </w:rPr>
              <w:t xml:space="preserve"> and 1961 </w:t>
            </w:r>
            <w:r w:rsidR="0004536C">
              <w:rPr>
                <w:rFonts w:cstheme="minorHAnsi"/>
                <w:sz w:val="20"/>
                <w:szCs w:val="20"/>
              </w:rPr>
              <w:t xml:space="preserve">Prison </w:t>
            </w:r>
            <w:r w:rsidR="00A558A6">
              <w:rPr>
                <w:rFonts w:cstheme="minorHAnsi"/>
                <w:sz w:val="20"/>
                <w:szCs w:val="20"/>
              </w:rPr>
              <w:t xml:space="preserve">Rules </w:t>
            </w:r>
          </w:p>
        </w:tc>
      </w:tr>
      <w:tr w:rsidR="00F56F57" w14:paraId="7E476CA6"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92D050"/>
          </w:tcPr>
          <w:p w14:paraId="14EBE04D" w14:textId="77777777" w:rsidR="00F56F57" w:rsidRPr="009D5FBA" w:rsidRDefault="00F56F57" w:rsidP="00F56F57">
            <w:pPr>
              <w:rPr>
                <w:rFonts w:cstheme="minorHAnsi"/>
                <w:b w:val="0"/>
                <w:sz w:val="20"/>
                <w:szCs w:val="20"/>
              </w:rPr>
            </w:pPr>
            <w:r w:rsidRPr="009D5FBA">
              <w:rPr>
                <w:rFonts w:cstheme="minorHAnsi"/>
                <w:b w:val="0"/>
                <w:sz w:val="20"/>
                <w:szCs w:val="20"/>
              </w:rPr>
              <w:t xml:space="preserve"># justice and security sector coordination meetings held </w:t>
            </w:r>
          </w:p>
          <w:p w14:paraId="3808A0E5" w14:textId="77777777" w:rsidR="00F56F57" w:rsidRPr="009D5FBA" w:rsidRDefault="00F56F57" w:rsidP="00F56F57">
            <w:pPr>
              <w:rPr>
                <w:rFonts w:cstheme="minorHAnsi"/>
                <w:b w:val="0"/>
                <w:sz w:val="20"/>
                <w:szCs w:val="20"/>
              </w:rPr>
            </w:pPr>
          </w:p>
          <w:p w14:paraId="3E115080" w14:textId="77777777" w:rsidR="00F56F57" w:rsidRPr="009D5FBA" w:rsidRDefault="00F56F57" w:rsidP="00F56F57">
            <w:pPr>
              <w:rPr>
                <w:rFonts w:cstheme="minorHAnsi"/>
                <w:b w:val="0"/>
                <w:sz w:val="20"/>
                <w:szCs w:val="20"/>
              </w:rPr>
            </w:pPr>
          </w:p>
          <w:p w14:paraId="394A1A23" w14:textId="77777777" w:rsidR="00F56F57" w:rsidRPr="009D5FBA" w:rsidRDefault="00F56F57" w:rsidP="00F56F57">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92D050"/>
          </w:tcPr>
          <w:p w14:paraId="6AD9902C" w14:textId="769416B5" w:rsidR="00F56F57" w:rsidRPr="009D5FBA" w:rsidRDefault="00F56F57" w:rsidP="00F56F57">
            <w:pPr>
              <w:pStyle w:val="ListParagraph"/>
              <w:ind w:left="0"/>
              <w:rPr>
                <w:rFonts w:cstheme="minorHAnsi"/>
                <w:sz w:val="20"/>
                <w:szCs w:val="20"/>
              </w:rPr>
            </w:pPr>
            <w:r w:rsidRPr="009D5FBA">
              <w:rPr>
                <w:rFonts w:cstheme="minorHAnsi"/>
                <w:bCs/>
                <w:sz w:val="20"/>
                <w:szCs w:val="20"/>
              </w:rPr>
              <w:t xml:space="preserve">Limited coordination in the sector and </w:t>
            </w:r>
            <w:r w:rsidR="0004536C">
              <w:rPr>
                <w:rFonts w:cstheme="minorHAnsi"/>
                <w:bCs/>
                <w:sz w:val="20"/>
                <w:szCs w:val="20"/>
              </w:rPr>
              <w:t>– sector a</w:t>
            </w:r>
            <w:r w:rsidRPr="009D5FBA">
              <w:rPr>
                <w:rFonts w:cstheme="minorHAnsi"/>
                <w:bCs/>
                <w:sz w:val="20"/>
                <w:szCs w:val="20"/>
              </w:rPr>
              <w:t>ctors do not meet regularly to discuss policy initiatives in the criminal justice sector</w:t>
            </w:r>
            <w:r w:rsidRPr="009D5FBA">
              <w:rPr>
                <w:rFonts w:cstheme="minorHAnsi"/>
                <w:sz w:val="20"/>
                <w:szCs w:val="20"/>
              </w:rPr>
              <w:t xml:space="preserve"> </w:t>
            </w:r>
          </w:p>
        </w:tc>
        <w:tc>
          <w:tcPr>
            <w:tcW w:w="1612" w:type="dxa"/>
            <w:shd w:val="clear" w:color="auto" w:fill="92D050"/>
          </w:tcPr>
          <w:p w14:paraId="377CD18F" w14:textId="77777777" w:rsidR="00F56F57" w:rsidRPr="009D5FBA" w:rsidRDefault="00A558A6"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3 joint coordination meetings and training conducted by the IPCB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92D050"/>
          </w:tcPr>
          <w:p w14:paraId="4A80323E" w14:textId="77777777" w:rsidR="00F56F57" w:rsidRPr="009D5FBA" w:rsidRDefault="00A558A6" w:rsidP="00F56F57">
            <w:pPr>
              <w:pStyle w:val="ListParagraph"/>
              <w:ind w:left="0"/>
              <w:rPr>
                <w:rFonts w:cstheme="minorHAnsi"/>
                <w:sz w:val="20"/>
                <w:szCs w:val="20"/>
              </w:rPr>
            </w:pPr>
            <w:r>
              <w:rPr>
                <w:rFonts w:cstheme="minorHAnsi"/>
                <w:sz w:val="20"/>
                <w:szCs w:val="20"/>
              </w:rPr>
              <w:t xml:space="preserve">3 joint coordination and meetings have been held by the IPCB for sector partners leading to joint trainings organized by the IPCB, SLP, HRC and other oversight bodies. </w:t>
            </w:r>
          </w:p>
        </w:tc>
        <w:tc>
          <w:tcPr>
            <w:tcW w:w="1260" w:type="dxa"/>
            <w:shd w:val="clear" w:color="auto" w:fill="92D050"/>
          </w:tcPr>
          <w:p w14:paraId="33143F74" w14:textId="77777777" w:rsidR="00F56F57" w:rsidRPr="009D5FBA" w:rsidRDefault="00F56F57"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92D050"/>
          </w:tcPr>
          <w:p w14:paraId="2AD31132" w14:textId="77777777" w:rsidR="00F56F57" w:rsidRPr="009D5FBA" w:rsidRDefault="00A558A6" w:rsidP="00F56F57">
            <w:pPr>
              <w:pStyle w:val="ListParagraph"/>
              <w:ind w:left="0"/>
              <w:rPr>
                <w:rFonts w:cstheme="minorHAnsi"/>
                <w:sz w:val="20"/>
                <w:szCs w:val="20"/>
              </w:rPr>
            </w:pPr>
            <w:r>
              <w:rPr>
                <w:rFonts w:cstheme="minorHAnsi"/>
                <w:sz w:val="20"/>
                <w:szCs w:val="20"/>
              </w:rPr>
              <w:t xml:space="preserve">IPCB </w:t>
            </w:r>
            <w:r w:rsidR="00F56F57" w:rsidRPr="009D5FBA">
              <w:rPr>
                <w:rFonts w:cstheme="minorHAnsi"/>
                <w:sz w:val="20"/>
                <w:szCs w:val="20"/>
              </w:rPr>
              <w:t xml:space="preserve">Report </w:t>
            </w:r>
            <w:r>
              <w:rPr>
                <w:rFonts w:cstheme="minorHAnsi"/>
                <w:sz w:val="20"/>
                <w:szCs w:val="20"/>
              </w:rPr>
              <w:t xml:space="preserve">- </w:t>
            </w:r>
            <w:r w:rsidR="00F56F57" w:rsidRPr="009D5FBA">
              <w:rPr>
                <w:rFonts w:cstheme="minorHAnsi"/>
                <w:sz w:val="20"/>
                <w:szCs w:val="20"/>
              </w:rPr>
              <w:t>201</w:t>
            </w:r>
            <w:r>
              <w:rPr>
                <w:rFonts w:cstheme="minorHAnsi"/>
                <w:sz w:val="20"/>
                <w:szCs w:val="20"/>
              </w:rPr>
              <w:t>8</w:t>
            </w:r>
            <w:r w:rsidR="00F56F57" w:rsidRPr="009D5FBA">
              <w:rPr>
                <w:rFonts w:cstheme="minorHAnsi"/>
                <w:sz w:val="20"/>
                <w:szCs w:val="20"/>
              </w:rPr>
              <w:t xml:space="preserve"> LOA</w:t>
            </w:r>
          </w:p>
        </w:tc>
      </w:tr>
      <w:tr w:rsidR="00F56F57" w14:paraId="23EAC9C0"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15201312" w14:textId="77777777" w:rsidR="00F56F57" w:rsidRPr="009D5FBA" w:rsidRDefault="00F56F57" w:rsidP="00F56F57">
            <w:pPr>
              <w:pStyle w:val="ListParagraph"/>
              <w:ind w:left="0"/>
              <w:rPr>
                <w:rFonts w:cstheme="minorHAnsi"/>
                <w:b w:val="0"/>
                <w:sz w:val="20"/>
                <w:szCs w:val="20"/>
              </w:rPr>
            </w:pPr>
            <w:r w:rsidRPr="009D5FBA">
              <w:rPr>
                <w:rFonts w:cstheme="minorHAnsi"/>
                <w:b w:val="0"/>
                <w:sz w:val="20"/>
                <w:szCs w:val="20"/>
              </w:rPr>
              <w:t># and type of CMS established and functional within justice and security sector partners</w:t>
            </w:r>
          </w:p>
        </w:tc>
        <w:tc>
          <w:tcPr>
            <w:cnfStyle w:val="000010000000" w:firstRow="0" w:lastRow="0" w:firstColumn="0" w:lastColumn="0" w:oddVBand="1" w:evenVBand="0" w:oddHBand="0" w:evenHBand="0" w:firstRowFirstColumn="0" w:firstRowLastColumn="0" w:lastRowFirstColumn="0" w:lastRowLastColumn="0"/>
            <w:tcW w:w="1808" w:type="dxa"/>
            <w:tcBorders>
              <w:left w:val="none" w:sz="0" w:space="0" w:color="auto"/>
              <w:right w:val="none" w:sz="0" w:space="0" w:color="auto"/>
            </w:tcBorders>
            <w:shd w:val="clear" w:color="auto" w:fill="auto"/>
          </w:tcPr>
          <w:p w14:paraId="0A884946" w14:textId="77777777" w:rsidR="00F56F57" w:rsidRPr="009D5FBA" w:rsidRDefault="00F56F57" w:rsidP="00F56F57">
            <w:pPr>
              <w:pStyle w:val="ListParagraph"/>
              <w:ind w:left="0"/>
              <w:rPr>
                <w:rFonts w:cstheme="minorHAnsi"/>
                <w:sz w:val="20"/>
                <w:szCs w:val="20"/>
              </w:rPr>
            </w:pPr>
            <w:r w:rsidRPr="009D5FBA">
              <w:rPr>
                <w:rFonts w:cstheme="minorHAnsi"/>
                <w:sz w:val="20"/>
                <w:szCs w:val="20"/>
              </w:rPr>
              <w:t xml:space="preserve">No CMS in place </w:t>
            </w:r>
            <w:r w:rsidR="0039476D">
              <w:rPr>
                <w:rFonts w:cstheme="minorHAnsi"/>
                <w:sz w:val="20"/>
                <w:szCs w:val="20"/>
              </w:rPr>
              <w:t xml:space="preserve">within </w:t>
            </w:r>
            <w:proofErr w:type="spellStart"/>
            <w:r w:rsidR="0039476D">
              <w:rPr>
                <w:rFonts w:cstheme="minorHAnsi"/>
                <w:sz w:val="20"/>
                <w:szCs w:val="20"/>
              </w:rPr>
              <w:t>MoJ</w:t>
            </w:r>
            <w:proofErr w:type="spellEnd"/>
            <w:r w:rsidR="0039476D">
              <w:rPr>
                <w:rFonts w:cstheme="minorHAnsi"/>
                <w:sz w:val="20"/>
                <w:szCs w:val="20"/>
              </w:rPr>
              <w:t xml:space="preserve"> and Judiciary</w:t>
            </w:r>
          </w:p>
        </w:tc>
        <w:tc>
          <w:tcPr>
            <w:tcW w:w="1612" w:type="dxa"/>
            <w:shd w:val="clear" w:color="auto" w:fill="auto"/>
          </w:tcPr>
          <w:p w14:paraId="296FAA98" w14:textId="77777777" w:rsidR="00F56F57" w:rsidRPr="009D5FBA" w:rsidRDefault="00F56F57"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5FBA">
              <w:rPr>
                <w:rFonts w:cstheme="minorHAnsi"/>
                <w:sz w:val="20"/>
                <w:szCs w:val="20"/>
              </w:rPr>
              <w:t>1 Justice App developed for the Judiciary and 1 CMS established for the MOJ</w:t>
            </w:r>
            <w:r w:rsidR="0039476D">
              <w:rPr>
                <w:rFonts w:cstheme="minorHAnsi"/>
                <w:sz w:val="20"/>
                <w:szCs w:val="20"/>
              </w:rPr>
              <w:t xml:space="preserve"> (Target 2017</w:t>
            </w:r>
            <w:r w:rsidR="00A558A6">
              <w:rPr>
                <w:rFonts w:cstheme="minorHAnsi"/>
                <w:sz w:val="20"/>
                <w:szCs w:val="20"/>
              </w:rPr>
              <w:t>-2018</w:t>
            </w:r>
            <w:r w:rsidR="0039476D">
              <w:rPr>
                <w:rFonts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shd w:val="clear" w:color="auto" w:fill="auto"/>
          </w:tcPr>
          <w:p w14:paraId="3BF04A7B" w14:textId="421F1D00" w:rsidR="00F56F57" w:rsidRDefault="00F56F57" w:rsidP="00F56F57">
            <w:pPr>
              <w:pStyle w:val="ListParagraph"/>
              <w:ind w:left="0"/>
              <w:rPr>
                <w:rFonts w:cstheme="minorHAnsi"/>
                <w:sz w:val="20"/>
                <w:szCs w:val="20"/>
              </w:rPr>
            </w:pPr>
            <w:r w:rsidRPr="009D5FBA">
              <w:rPr>
                <w:rFonts w:cstheme="minorHAnsi"/>
                <w:sz w:val="20"/>
                <w:szCs w:val="20"/>
              </w:rPr>
              <w:t xml:space="preserve">1 Justice App developed and functional within the Judiciary </w:t>
            </w:r>
            <w:r w:rsidR="00A558A6">
              <w:rPr>
                <w:rFonts w:cstheme="minorHAnsi"/>
                <w:sz w:val="20"/>
                <w:szCs w:val="20"/>
              </w:rPr>
              <w:t xml:space="preserve">and progressively being rolled out to the provinces </w:t>
            </w:r>
            <w:r w:rsidRPr="009D5FBA">
              <w:rPr>
                <w:rFonts w:cstheme="minorHAnsi"/>
                <w:sz w:val="20"/>
                <w:szCs w:val="20"/>
              </w:rPr>
              <w:t xml:space="preserve">with </w:t>
            </w:r>
            <w:r w:rsidR="00A558A6">
              <w:rPr>
                <w:rFonts w:cstheme="minorHAnsi"/>
                <w:sz w:val="20"/>
                <w:szCs w:val="20"/>
              </w:rPr>
              <w:t xml:space="preserve">at least </w:t>
            </w:r>
            <w:r w:rsidR="0004536C">
              <w:rPr>
                <w:rFonts w:cstheme="minorHAnsi"/>
                <w:sz w:val="20"/>
                <w:szCs w:val="20"/>
              </w:rPr>
              <w:t>11</w:t>
            </w:r>
            <w:r w:rsidRPr="009D5FBA">
              <w:rPr>
                <w:rFonts w:cstheme="minorHAnsi"/>
                <w:sz w:val="20"/>
                <w:szCs w:val="20"/>
              </w:rPr>
              <w:t xml:space="preserve"> Magistrate</w:t>
            </w:r>
            <w:r w:rsidR="00A558A6">
              <w:rPr>
                <w:rFonts w:cstheme="minorHAnsi"/>
                <w:sz w:val="20"/>
                <w:szCs w:val="20"/>
              </w:rPr>
              <w:t>s’</w:t>
            </w:r>
            <w:r w:rsidRPr="009D5FBA">
              <w:rPr>
                <w:rFonts w:cstheme="minorHAnsi"/>
                <w:sz w:val="20"/>
                <w:szCs w:val="20"/>
              </w:rPr>
              <w:t xml:space="preserve"> Courts (MCs) and </w:t>
            </w:r>
            <w:r w:rsidR="0004536C">
              <w:rPr>
                <w:rFonts w:cstheme="minorHAnsi"/>
                <w:sz w:val="20"/>
                <w:szCs w:val="20"/>
              </w:rPr>
              <w:t>7</w:t>
            </w:r>
            <w:r w:rsidRPr="009D5FBA">
              <w:rPr>
                <w:rFonts w:cstheme="minorHAnsi"/>
                <w:sz w:val="20"/>
                <w:szCs w:val="20"/>
              </w:rPr>
              <w:t xml:space="preserve"> High Courts (HCs)</w:t>
            </w:r>
          </w:p>
          <w:p w14:paraId="0C66328B" w14:textId="77777777" w:rsidR="00E73190" w:rsidRDefault="00E73190" w:rsidP="00F56F57">
            <w:pPr>
              <w:pStyle w:val="ListParagraph"/>
              <w:ind w:left="0"/>
              <w:rPr>
                <w:rFonts w:cstheme="minorHAnsi"/>
                <w:sz w:val="20"/>
                <w:szCs w:val="20"/>
              </w:rPr>
            </w:pPr>
          </w:p>
          <w:p w14:paraId="47ADBA83" w14:textId="77777777" w:rsidR="00E73190" w:rsidRDefault="00E73190" w:rsidP="00F56F57">
            <w:pPr>
              <w:pStyle w:val="ListParagraph"/>
              <w:ind w:left="0"/>
              <w:rPr>
                <w:rFonts w:cstheme="minorHAnsi"/>
                <w:sz w:val="20"/>
                <w:szCs w:val="20"/>
              </w:rPr>
            </w:pPr>
            <w:proofErr w:type="spellStart"/>
            <w:r>
              <w:rPr>
                <w:rFonts w:cstheme="minorHAnsi"/>
                <w:sz w:val="20"/>
                <w:szCs w:val="20"/>
              </w:rPr>
              <w:t>MoJ</w:t>
            </w:r>
            <w:proofErr w:type="spellEnd"/>
            <w:r>
              <w:rPr>
                <w:rFonts w:cstheme="minorHAnsi"/>
                <w:sz w:val="20"/>
                <w:szCs w:val="20"/>
              </w:rPr>
              <w:t xml:space="preserve"> – CMS</w:t>
            </w:r>
            <w:r w:rsidR="00A558A6">
              <w:rPr>
                <w:rFonts w:cstheme="minorHAnsi"/>
                <w:sz w:val="20"/>
                <w:szCs w:val="20"/>
              </w:rPr>
              <w:t xml:space="preserve"> needs assessment completed and system developed and currently being tested. </w:t>
            </w:r>
          </w:p>
          <w:p w14:paraId="6ED92062" w14:textId="77777777" w:rsidR="00A558A6" w:rsidRDefault="00A558A6" w:rsidP="00F56F57">
            <w:pPr>
              <w:pStyle w:val="ListParagraph"/>
              <w:ind w:left="0"/>
              <w:rPr>
                <w:rFonts w:cstheme="minorHAnsi"/>
                <w:sz w:val="20"/>
                <w:szCs w:val="20"/>
              </w:rPr>
            </w:pPr>
          </w:p>
          <w:p w14:paraId="1ABC45EA" w14:textId="5048C228" w:rsidR="00A558A6" w:rsidRPr="009D5FBA" w:rsidRDefault="00A558A6" w:rsidP="00F56F57">
            <w:pPr>
              <w:pStyle w:val="ListParagraph"/>
              <w:ind w:left="0"/>
              <w:rPr>
                <w:rFonts w:cstheme="minorHAnsi"/>
                <w:sz w:val="20"/>
                <w:szCs w:val="20"/>
              </w:rPr>
            </w:pPr>
            <w:r>
              <w:rPr>
                <w:rFonts w:cstheme="minorHAnsi"/>
                <w:sz w:val="20"/>
                <w:szCs w:val="20"/>
              </w:rPr>
              <w:t xml:space="preserve">In addition, Justice App expansion for the DPP’s Office </w:t>
            </w:r>
            <w:r w:rsidR="0004536C">
              <w:rPr>
                <w:rFonts w:cstheme="minorHAnsi"/>
                <w:sz w:val="20"/>
                <w:szCs w:val="20"/>
              </w:rPr>
              <w:t>is almost completed</w:t>
            </w:r>
            <w:r>
              <w:rPr>
                <w:rFonts w:cstheme="minorHAnsi"/>
                <w:sz w:val="20"/>
                <w:szCs w:val="20"/>
              </w:rPr>
              <w:t xml:space="preserve"> </w:t>
            </w:r>
            <w:r w:rsidR="0004536C">
              <w:rPr>
                <w:rFonts w:cstheme="minorHAnsi"/>
                <w:sz w:val="20"/>
                <w:szCs w:val="20"/>
              </w:rPr>
              <w:t xml:space="preserve">with final </w:t>
            </w:r>
            <w:proofErr w:type="spellStart"/>
            <w:r w:rsidR="0004536C">
              <w:rPr>
                <w:rFonts w:cstheme="minorHAnsi"/>
                <w:sz w:val="20"/>
                <w:szCs w:val="20"/>
              </w:rPr>
              <w:t>MoJ</w:t>
            </w:r>
            <w:proofErr w:type="spellEnd"/>
            <w:r w:rsidR="0004536C">
              <w:rPr>
                <w:rFonts w:cstheme="minorHAnsi"/>
                <w:sz w:val="20"/>
                <w:szCs w:val="20"/>
              </w:rPr>
              <w:t xml:space="preserve"> feedback being incorporated</w:t>
            </w:r>
          </w:p>
        </w:tc>
        <w:tc>
          <w:tcPr>
            <w:tcW w:w="1260" w:type="dxa"/>
            <w:shd w:val="clear" w:color="auto" w:fill="auto"/>
          </w:tcPr>
          <w:p w14:paraId="43D2F4A7" w14:textId="3D2123E1" w:rsidR="00F56F57" w:rsidRPr="009D5FBA" w:rsidRDefault="00E73190" w:rsidP="00F56F57">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Recruitment of Case Management Expert / Consultant(s) was challenging and </w:t>
            </w:r>
            <w:r w:rsidR="00A558A6">
              <w:rPr>
                <w:rFonts w:cstheme="minorHAnsi"/>
                <w:sz w:val="20"/>
                <w:szCs w:val="20"/>
              </w:rPr>
              <w:t xml:space="preserve">receiving </w:t>
            </w:r>
            <w:r w:rsidR="0004536C">
              <w:rPr>
                <w:rFonts w:cstheme="minorHAnsi"/>
                <w:sz w:val="20"/>
                <w:szCs w:val="20"/>
              </w:rPr>
              <w:t xml:space="preserve">feedback </w:t>
            </w:r>
            <w:r w:rsidR="00A558A6">
              <w:rPr>
                <w:rFonts w:cstheme="minorHAnsi"/>
                <w:sz w:val="20"/>
                <w:szCs w:val="20"/>
              </w:rPr>
              <w:t>from MOJ</w:t>
            </w:r>
            <w:r w:rsidR="0004536C">
              <w:rPr>
                <w:rFonts w:cstheme="minorHAnsi"/>
                <w:sz w:val="20"/>
                <w:szCs w:val="20"/>
              </w:rPr>
              <w:t xml:space="preserve"> after new government entered office was difficult.</w:t>
            </w:r>
            <w:r w:rsidR="00A558A6">
              <w:rPr>
                <w:rFonts w:cstheme="minorHAnsi"/>
                <w:sz w:val="20"/>
                <w:szCs w:val="20"/>
              </w:rPr>
              <w:t xml:space="preserve"> </w:t>
            </w:r>
            <w:r w:rsidR="002D279D">
              <w:rPr>
                <w:rFonts w:cstheme="minorHAnsi"/>
                <w:sz w:val="20"/>
                <w:szCs w:val="20"/>
              </w:rPr>
              <w:t>This has caused delays for the development of both the MOJ and SLCS CMS</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auto"/>
          </w:tcPr>
          <w:p w14:paraId="0F0091EC" w14:textId="77777777" w:rsidR="00E73190" w:rsidRPr="009D5FBA" w:rsidRDefault="00F56F57" w:rsidP="002D279D">
            <w:pPr>
              <w:pStyle w:val="ListParagraph"/>
              <w:ind w:left="0"/>
              <w:rPr>
                <w:rFonts w:cstheme="minorHAnsi"/>
                <w:sz w:val="20"/>
                <w:szCs w:val="20"/>
              </w:rPr>
            </w:pPr>
            <w:r w:rsidRPr="009D5FBA">
              <w:rPr>
                <w:rFonts w:cstheme="minorHAnsi"/>
                <w:sz w:val="20"/>
                <w:szCs w:val="20"/>
              </w:rPr>
              <w:t xml:space="preserve">Report from LOA with </w:t>
            </w:r>
            <w:r w:rsidR="002D279D">
              <w:rPr>
                <w:rFonts w:cstheme="minorHAnsi"/>
                <w:sz w:val="20"/>
                <w:szCs w:val="20"/>
              </w:rPr>
              <w:t>SLCS, Report from CMS MOJ Consultants</w:t>
            </w:r>
          </w:p>
        </w:tc>
      </w:tr>
      <w:tr w:rsidR="00F56F57" w14:paraId="16B7C411"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none" w:sz="0" w:space="0" w:color="auto"/>
              <w:left w:val="none" w:sz="0" w:space="0" w:color="auto"/>
              <w:bottom w:val="none" w:sz="0" w:space="0" w:color="auto"/>
            </w:tcBorders>
            <w:shd w:val="clear" w:color="auto" w:fill="92D050"/>
          </w:tcPr>
          <w:p w14:paraId="014A9B61" w14:textId="77777777" w:rsidR="00F56F57" w:rsidRPr="009D5FBA" w:rsidRDefault="00F56F57" w:rsidP="00F56F57">
            <w:pPr>
              <w:pStyle w:val="ListParagraph"/>
              <w:ind w:left="0"/>
              <w:rPr>
                <w:rFonts w:cstheme="minorHAnsi"/>
                <w:sz w:val="20"/>
                <w:szCs w:val="20"/>
              </w:rPr>
            </w:pPr>
            <w:r w:rsidRPr="009D5FBA">
              <w:rPr>
                <w:rFonts w:cstheme="minorHAnsi"/>
                <w:b w:val="0"/>
                <w:sz w:val="20"/>
                <w:szCs w:val="20"/>
              </w:rPr>
              <w:t xml:space="preserve">#  and type of M&amp;E capacity strengthening initiatives conducted with data </w:t>
            </w:r>
            <w:r w:rsidRPr="009D5FBA">
              <w:rPr>
                <w:rFonts w:cstheme="minorHAnsi"/>
                <w:b w:val="0"/>
                <w:sz w:val="20"/>
                <w:szCs w:val="20"/>
              </w:rPr>
              <w:lastRenderedPageBreak/>
              <w:t>management of IPs structures enhanced</w:t>
            </w:r>
          </w:p>
        </w:tc>
        <w:tc>
          <w:tcPr>
            <w:cnfStyle w:val="000010000000" w:firstRow="0" w:lastRow="0" w:firstColumn="0" w:lastColumn="0" w:oddVBand="1"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shd w:val="clear" w:color="auto" w:fill="92D050"/>
          </w:tcPr>
          <w:p w14:paraId="26377670" w14:textId="77777777" w:rsidR="00F56F57" w:rsidRPr="009D5FBA" w:rsidRDefault="00F56F57" w:rsidP="00F56F57">
            <w:pPr>
              <w:pStyle w:val="ListParagraph"/>
              <w:ind w:left="0"/>
              <w:rPr>
                <w:rFonts w:cstheme="minorHAnsi"/>
                <w:sz w:val="20"/>
                <w:szCs w:val="20"/>
              </w:rPr>
            </w:pPr>
            <w:r w:rsidRPr="009D5FBA">
              <w:rPr>
                <w:rFonts w:cstheme="minorHAnsi"/>
                <w:sz w:val="20"/>
                <w:szCs w:val="20"/>
              </w:rPr>
              <w:lastRenderedPageBreak/>
              <w:t>Limited capacity of LOD and sector institutions to collect and analyze data for policy development</w:t>
            </w:r>
          </w:p>
        </w:tc>
        <w:tc>
          <w:tcPr>
            <w:tcW w:w="1612" w:type="dxa"/>
            <w:tcBorders>
              <w:top w:val="none" w:sz="0" w:space="0" w:color="auto"/>
              <w:bottom w:val="none" w:sz="0" w:space="0" w:color="auto"/>
            </w:tcBorders>
            <w:shd w:val="clear" w:color="auto" w:fill="92D050"/>
          </w:tcPr>
          <w:p w14:paraId="38C761E2" w14:textId="77777777" w:rsidR="00F56F57" w:rsidRPr="009D5FBA" w:rsidRDefault="00F56F57"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5FBA">
              <w:rPr>
                <w:rFonts w:cstheme="minorHAnsi"/>
                <w:sz w:val="20"/>
                <w:szCs w:val="20"/>
              </w:rPr>
              <w:t xml:space="preserve">4 M&amp;E capacity building sessions held with modules developed to enhance </w:t>
            </w:r>
            <w:r w:rsidRPr="009D5FBA">
              <w:rPr>
                <w:rFonts w:cstheme="minorHAnsi"/>
                <w:sz w:val="20"/>
                <w:szCs w:val="20"/>
              </w:rPr>
              <w:lastRenderedPageBreak/>
              <w:t>partners knowledge on data collection, analysis and dissemination and integrating HRBAs</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92D050"/>
          </w:tcPr>
          <w:p w14:paraId="5402ED1C" w14:textId="77777777" w:rsidR="00F56F57" w:rsidRPr="009D5FBA" w:rsidRDefault="00F56F57" w:rsidP="00F56F57">
            <w:pPr>
              <w:pStyle w:val="ListParagraph"/>
              <w:ind w:left="0"/>
              <w:rPr>
                <w:rFonts w:cstheme="minorHAnsi"/>
                <w:sz w:val="20"/>
                <w:szCs w:val="20"/>
              </w:rPr>
            </w:pPr>
            <w:r w:rsidRPr="009D5FBA">
              <w:rPr>
                <w:rFonts w:cstheme="minorHAnsi"/>
                <w:sz w:val="20"/>
                <w:szCs w:val="20"/>
              </w:rPr>
              <w:lastRenderedPageBreak/>
              <w:t>2 modules developed</w:t>
            </w:r>
            <w:r w:rsidR="00BD5C32">
              <w:rPr>
                <w:rFonts w:cstheme="minorHAnsi"/>
                <w:sz w:val="20"/>
                <w:szCs w:val="20"/>
              </w:rPr>
              <w:t xml:space="preserve"> in 2017 and revised in 2018</w:t>
            </w:r>
            <w:r w:rsidRPr="009D5FBA">
              <w:rPr>
                <w:rFonts w:cstheme="minorHAnsi"/>
                <w:sz w:val="20"/>
                <w:szCs w:val="20"/>
              </w:rPr>
              <w:t xml:space="preserve"> by the JSCO and </w:t>
            </w:r>
            <w:r w:rsidR="002D279D">
              <w:rPr>
                <w:rFonts w:cstheme="minorHAnsi"/>
                <w:sz w:val="20"/>
                <w:szCs w:val="20"/>
              </w:rPr>
              <w:t xml:space="preserve">2 refresher </w:t>
            </w:r>
            <w:r w:rsidRPr="009D5FBA">
              <w:rPr>
                <w:rFonts w:cstheme="minorHAnsi"/>
                <w:sz w:val="20"/>
                <w:szCs w:val="20"/>
              </w:rPr>
              <w:t xml:space="preserve">training sessions held with </w:t>
            </w:r>
            <w:r w:rsidR="00BD5C32">
              <w:rPr>
                <w:rFonts w:cstheme="minorHAnsi"/>
                <w:sz w:val="20"/>
                <w:szCs w:val="20"/>
              </w:rPr>
              <w:lastRenderedPageBreak/>
              <w:t>70</w:t>
            </w:r>
            <w:r w:rsidRPr="009D5FBA">
              <w:rPr>
                <w:rFonts w:cstheme="minorHAnsi"/>
                <w:sz w:val="20"/>
                <w:szCs w:val="20"/>
              </w:rPr>
              <w:t xml:space="preserve"> representatives from justice and security sector</w:t>
            </w:r>
          </w:p>
        </w:tc>
        <w:tc>
          <w:tcPr>
            <w:tcW w:w="1260" w:type="dxa"/>
            <w:tcBorders>
              <w:top w:val="none" w:sz="0" w:space="0" w:color="auto"/>
              <w:bottom w:val="none" w:sz="0" w:space="0" w:color="auto"/>
            </w:tcBorders>
            <w:shd w:val="clear" w:color="auto" w:fill="92D050"/>
          </w:tcPr>
          <w:p w14:paraId="0F4F30C7" w14:textId="77777777" w:rsidR="00F56F57" w:rsidRPr="009D5FBA" w:rsidRDefault="00F56F57" w:rsidP="00F56F5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92D050"/>
          </w:tcPr>
          <w:p w14:paraId="6C0F0175" w14:textId="77777777" w:rsidR="00F56F57" w:rsidRPr="009D5FBA" w:rsidRDefault="00F56F57" w:rsidP="00F56F57">
            <w:pPr>
              <w:pStyle w:val="ListParagraph"/>
              <w:ind w:left="0"/>
              <w:rPr>
                <w:rFonts w:cstheme="minorHAnsi"/>
                <w:sz w:val="20"/>
                <w:szCs w:val="20"/>
              </w:rPr>
            </w:pPr>
            <w:r w:rsidRPr="009D5FBA">
              <w:rPr>
                <w:rFonts w:cstheme="minorHAnsi"/>
                <w:sz w:val="20"/>
                <w:szCs w:val="20"/>
              </w:rPr>
              <w:t>JSCO LOA Reports</w:t>
            </w:r>
          </w:p>
        </w:tc>
      </w:tr>
      <w:tr w:rsidR="00F56F57" w14:paraId="725F8FD1" w14:textId="77777777" w:rsidTr="0006735A">
        <w:trPr>
          <w:trHeight w:val="547"/>
        </w:trPr>
        <w:tc>
          <w:tcPr>
            <w:cnfStyle w:val="001000000000" w:firstRow="0" w:lastRow="0" w:firstColumn="1" w:lastColumn="0" w:oddVBand="0" w:evenVBand="0" w:oddHBand="0" w:evenHBand="0" w:firstRowFirstColumn="0" w:firstRowLastColumn="0" w:lastRowFirstColumn="0" w:lastRowLastColumn="0"/>
            <w:tcW w:w="9710" w:type="dxa"/>
            <w:gridSpan w:val="6"/>
            <w:shd w:val="clear" w:color="auto" w:fill="EEECE1" w:themeFill="background2"/>
          </w:tcPr>
          <w:p w14:paraId="22E97CA5" w14:textId="77777777" w:rsidR="00F56F57" w:rsidRDefault="002D279D" w:rsidP="00F56F57">
            <w:pPr>
              <w:pStyle w:val="ListParagraph"/>
              <w:ind w:left="0"/>
            </w:pPr>
            <w:r>
              <w:t>Output 2</w:t>
            </w:r>
            <w:r w:rsidR="00F56F57">
              <w:t xml:space="preserve">: </w:t>
            </w:r>
            <w:r w:rsidR="00F56F57" w:rsidRPr="007774E7">
              <w:t>Enhanced access to justice and security for rights holders’ incl. women and vulnerable groups</w:t>
            </w:r>
          </w:p>
        </w:tc>
      </w:tr>
      <w:tr w:rsidR="00E73190" w:rsidRPr="009D5FBA" w14:paraId="6D98E921"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92D050"/>
          </w:tcPr>
          <w:p w14:paraId="571D48E0" w14:textId="77777777" w:rsidR="00E73190" w:rsidRPr="00E73190" w:rsidRDefault="00E73190" w:rsidP="00E73190">
            <w:pPr>
              <w:pStyle w:val="Default"/>
              <w:keepNext/>
              <w:keepLines/>
              <w:spacing w:before="200"/>
              <w:jc w:val="both"/>
              <w:outlineLvl w:val="6"/>
              <w:rPr>
                <w:rFonts w:asciiTheme="minorHAnsi" w:hAnsiTheme="minorHAnsi" w:cstheme="minorHAnsi"/>
                <w:b w:val="0"/>
                <w:sz w:val="20"/>
                <w:szCs w:val="20"/>
              </w:rPr>
            </w:pPr>
            <w:r w:rsidRPr="00E73190">
              <w:rPr>
                <w:rFonts w:asciiTheme="minorHAnsi" w:hAnsiTheme="minorHAnsi" w:cstheme="minorHAnsi"/>
                <w:b w:val="0"/>
                <w:sz w:val="20"/>
                <w:szCs w:val="20"/>
              </w:rPr>
              <w:lastRenderedPageBreak/>
              <w:t xml:space="preserve">Legal aid policy guidelines developed and adopted </w:t>
            </w:r>
          </w:p>
          <w:p w14:paraId="19818E45" w14:textId="77777777" w:rsidR="00E73190" w:rsidRPr="00E73190" w:rsidRDefault="00E73190" w:rsidP="00E73190">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tcBorders>
              <w:left w:val="none" w:sz="0" w:space="0" w:color="auto"/>
              <w:right w:val="none" w:sz="0" w:space="0" w:color="auto"/>
            </w:tcBorders>
            <w:shd w:val="clear" w:color="auto" w:fill="92D050"/>
          </w:tcPr>
          <w:p w14:paraId="1A3BBF31" w14:textId="77777777" w:rsidR="00E73190" w:rsidRPr="00E73190" w:rsidRDefault="00E73190" w:rsidP="00E73190">
            <w:pPr>
              <w:pStyle w:val="Default"/>
              <w:keepNext/>
              <w:keepLines/>
              <w:spacing w:before="200"/>
              <w:jc w:val="both"/>
              <w:outlineLvl w:val="6"/>
              <w:rPr>
                <w:rFonts w:asciiTheme="minorHAnsi" w:hAnsiTheme="minorHAnsi" w:cstheme="minorHAnsi"/>
                <w:i/>
                <w:sz w:val="20"/>
                <w:szCs w:val="20"/>
              </w:rPr>
            </w:pPr>
            <w:r w:rsidRPr="00E73190">
              <w:rPr>
                <w:rFonts w:asciiTheme="minorHAnsi" w:hAnsiTheme="minorHAnsi" w:cstheme="minorHAnsi"/>
                <w:i/>
                <w:sz w:val="20"/>
                <w:szCs w:val="20"/>
              </w:rPr>
              <w:t>Limited number of individuals have access to legal aid services</w:t>
            </w:r>
          </w:p>
          <w:p w14:paraId="01227147" w14:textId="77777777" w:rsidR="00E73190" w:rsidRPr="00E73190" w:rsidRDefault="00E73190" w:rsidP="00E73190">
            <w:pPr>
              <w:pStyle w:val="ListParagraph"/>
              <w:ind w:left="0"/>
              <w:rPr>
                <w:rFonts w:cstheme="minorHAnsi"/>
                <w:sz w:val="20"/>
                <w:szCs w:val="20"/>
              </w:rPr>
            </w:pPr>
          </w:p>
        </w:tc>
        <w:tc>
          <w:tcPr>
            <w:tcW w:w="1612" w:type="dxa"/>
            <w:shd w:val="clear" w:color="auto" w:fill="92D050"/>
          </w:tcPr>
          <w:p w14:paraId="2160664B" w14:textId="77777777" w:rsidR="00E73190" w:rsidRPr="00E73190" w:rsidRDefault="00E73190" w:rsidP="00E73190">
            <w:pPr>
              <w:spacing w:before="60"/>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E73190">
              <w:rPr>
                <w:rFonts w:cstheme="minorHAnsi"/>
                <w:i/>
                <w:sz w:val="20"/>
                <w:szCs w:val="20"/>
              </w:rPr>
              <w:t>Legal Aid Policy framework developed</w:t>
            </w:r>
          </w:p>
          <w:p w14:paraId="0A411940" w14:textId="77777777" w:rsidR="00E73190" w:rsidRPr="007A4F15" w:rsidRDefault="00E73190" w:rsidP="00E73190">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Arial"/>
                <w:i/>
              </w:rPr>
            </w:pPr>
          </w:p>
          <w:p w14:paraId="7E726E98" w14:textId="77777777" w:rsidR="00E73190" w:rsidRPr="009D5FBA"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shd w:val="clear" w:color="auto" w:fill="92D050"/>
          </w:tcPr>
          <w:p w14:paraId="0709CA93" w14:textId="77777777" w:rsidR="00E73190" w:rsidRPr="009D5FBA" w:rsidRDefault="00E73190" w:rsidP="00E73190">
            <w:pPr>
              <w:pStyle w:val="ListParagraph"/>
              <w:ind w:left="0"/>
              <w:rPr>
                <w:sz w:val="20"/>
                <w:szCs w:val="20"/>
              </w:rPr>
            </w:pPr>
            <w:r w:rsidRPr="009D5FBA">
              <w:rPr>
                <w:sz w:val="20"/>
                <w:szCs w:val="20"/>
              </w:rPr>
              <w:t xml:space="preserve">1 </w:t>
            </w:r>
            <w:r w:rsidR="00BD5C32">
              <w:rPr>
                <w:sz w:val="20"/>
                <w:szCs w:val="20"/>
              </w:rPr>
              <w:t xml:space="preserve">curriculum developed for the training and certification of paralegals by the JSCO in collaboration with the Judiciary’s JLTI </w:t>
            </w:r>
            <w:r w:rsidRPr="009D5FBA">
              <w:rPr>
                <w:sz w:val="20"/>
                <w:szCs w:val="20"/>
              </w:rPr>
              <w:t>in 2018</w:t>
            </w:r>
          </w:p>
        </w:tc>
        <w:tc>
          <w:tcPr>
            <w:tcW w:w="1260" w:type="dxa"/>
            <w:shd w:val="clear" w:color="auto" w:fill="92D050"/>
          </w:tcPr>
          <w:p w14:paraId="1DAD2353" w14:textId="77777777" w:rsidR="00E73190" w:rsidRPr="009D5FBA"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92D050"/>
          </w:tcPr>
          <w:p w14:paraId="1630EA4A" w14:textId="77777777" w:rsidR="00E73190" w:rsidRPr="009D5FBA" w:rsidRDefault="00BD5C32" w:rsidP="00E73190">
            <w:pPr>
              <w:pStyle w:val="ListParagraph"/>
              <w:ind w:left="0"/>
              <w:rPr>
                <w:sz w:val="20"/>
                <w:szCs w:val="20"/>
              </w:rPr>
            </w:pPr>
            <w:r>
              <w:rPr>
                <w:sz w:val="20"/>
                <w:szCs w:val="20"/>
              </w:rPr>
              <w:t>Curriculum developed; Report of JSCO on LOA support</w:t>
            </w:r>
          </w:p>
        </w:tc>
      </w:tr>
      <w:tr w:rsidR="00263240" w:rsidRPr="009D5FBA" w14:paraId="75F60ECD"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1E34856F" w14:textId="77777777" w:rsidR="00263240" w:rsidRPr="00263240" w:rsidRDefault="00263240" w:rsidP="00263240">
            <w:pPr>
              <w:keepNext/>
              <w:keepLines/>
              <w:autoSpaceDE w:val="0"/>
              <w:autoSpaceDN w:val="0"/>
              <w:adjustRightInd w:val="0"/>
              <w:spacing w:before="200"/>
              <w:outlineLvl w:val="6"/>
              <w:rPr>
                <w:rFonts w:cstheme="minorHAnsi"/>
                <w:b w:val="0"/>
                <w:sz w:val="20"/>
                <w:szCs w:val="20"/>
                <w:lang w:eastAsia="en-GB"/>
              </w:rPr>
            </w:pPr>
            <w:r w:rsidRPr="00263240">
              <w:rPr>
                <w:rFonts w:cstheme="minorHAnsi"/>
                <w:b w:val="0"/>
                <w:sz w:val="20"/>
                <w:szCs w:val="20"/>
                <w:lang w:eastAsia="en-GB"/>
              </w:rPr>
              <w:t>% increase in legal awareness, legal</w:t>
            </w:r>
          </w:p>
          <w:p w14:paraId="5FEFC345" w14:textId="77777777" w:rsidR="00263240" w:rsidRPr="00263240" w:rsidRDefault="00263240" w:rsidP="00263240">
            <w:pPr>
              <w:autoSpaceDE w:val="0"/>
              <w:autoSpaceDN w:val="0"/>
              <w:adjustRightInd w:val="0"/>
              <w:rPr>
                <w:rFonts w:cstheme="minorHAnsi"/>
                <w:b w:val="0"/>
                <w:sz w:val="20"/>
                <w:szCs w:val="20"/>
                <w:lang w:eastAsia="en-GB"/>
              </w:rPr>
            </w:pPr>
            <w:r w:rsidRPr="00263240">
              <w:rPr>
                <w:rFonts w:cstheme="minorHAnsi"/>
                <w:b w:val="0"/>
                <w:sz w:val="20"/>
                <w:szCs w:val="20"/>
                <w:lang w:eastAsia="en-GB"/>
              </w:rPr>
              <w:t>assistance and legal aid services</w:t>
            </w: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0C232701" w14:textId="77777777" w:rsidR="00263240" w:rsidRPr="00263240" w:rsidRDefault="00263240" w:rsidP="00E73190">
            <w:pPr>
              <w:pStyle w:val="Default"/>
              <w:keepNext/>
              <w:keepLines/>
              <w:spacing w:before="200"/>
              <w:jc w:val="both"/>
              <w:outlineLvl w:val="6"/>
              <w:rPr>
                <w:rFonts w:asciiTheme="minorHAnsi" w:hAnsiTheme="minorHAnsi" w:cstheme="minorHAnsi"/>
                <w:i/>
                <w:sz w:val="20"/>
                <w:szCs w:val="20"/>
              </w:rPr>
            </w:pPr>
            <w:r w:rsidRPr="00263240">
              <w:rPr>
                <w:rFonts w:asciiTheme="minorHAnsi" w:hAnsiTheme="minorHAnsi" w:cstheme="minorHAnsi"/>
                <w:i/>
                <w:sz w:val="20"/>
                <w:szCs w:val="20"/>
                <w:lang w:eastAsia="en-GB"/>
              </w:rPr>
              <w:t>Limited public legal information and awareness campaign</w:t>
            </w:r>
          </w:p>
        </w:tc>
        <w:tc>
          <w:tcPr>
            <w:tcW w:w="1612" w:type="dxa"/>
            <w:shd w:val="clear" w:color="auto" w:fill="auto"/>
          </w:tcPr>
          <w:p w14:paraId="3B9C0B49" w14:textId="77777777" w:rsidR="00263240" w:rsidRPr="00263240" w:rsidRDefault="00263240" w:rsidP="00263240">
            <w:pPr>
              <w:spacing w:before="6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263240">
              <w:rPr>
                <w:rFonts w:cstheme="minorHAnsi"/>
                <w:i/>
                <w:sz w:val="20"/>
                <w:szCs w:val="20"/>
              </w:rPr>
              <w:t>At least 35% increased knowledge of legal aid service available from a baseline data in target areas</w:t>
            </w:r>
          </w:p>
          <w:p w14:paraId="6C69B2A7" w14:textId="77777777" w:rsidR="00263240" w:rsidRPr="00263240" w:rsidRDefault="00263240" w:rsidP="00E73190">
            <w:pPr>
              <w:spacing w:before="6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2DF7A748" w14:textId="2AA43B5C" w:rsidR="00BD5C32" w:rsidRDefault="00BD5C32" w:rsidP="00BD5C32">
            <w:pPr>
              <w:pStyle w:val="ListParagraph"/>
              <w:ind w:left="0"/>
              <w:rPr>
                <w:sz w:val="20"/>
                <w:szCs w:val="20"/>
              </w:rPr>
            </w:pPr>
            <w:r>
              <w:rPr>
                <w:sz w:val="20"/>
                <w:szCs w:val="20"/>
              </w:rPr>
              <w:t xml:space="preserve">In relation to legal awareness, the PW-SL has </w:t>
            </w:r>
            <w:proofErr w:type="gramStart"/>
            <w:r>
              <w:rPr>
                <w:sz w:val="20"/>
                <w:szCs w:val="20"/>
              </w:rPr>
              <w:t>provide</w:t>
            </w:r>
            <w:r w:rsidR="00D14A90">
              <w:rPr>
                <w:sz w:val="20"/>
                <w:szCs w:val="20"/>
              </w:rPr>
              <w:t>d</w:t>
            </w:r>
            <w:r>
              <w:rPr>
                <w:sz w:val="20"/>
                <w:szCs w:val="20"/>
              </w:rPr>
              <w:t xml:space="preserve"> </w:t>
            </w:r>
            <w:r w:rsidR="0004536C">
              <w:rPr>
                <w:sz w:val="20"/>
                <w:szCs w:val="20"/>
              </w:rPr>
              <w:t xml:space="preserve">assistance </w:t>
            </w:r>
            <w:r>
              <w:rPr>
                <w:sz w:val="20"/>
                <w:szCs w:val="20"/>
              </w:rPr>
              <w:t>to</w:t>
            </w:r>
            <w:proofErr w:type="gramEnd"/>
            <w:r>
              <w:rPr>
                <w:sz w:val="20"/>
                <w:szCs w:val="20"/>
              </w:rPr>
              <w:t xml:space="preserve"> inmates during the Prison Court sessions with at least 650 inmates provided with requisite legal information on their files and their legal entitlements </w:t>
            </w:r>
          </w:p>
          <w:p w14:paraId="10D93D51" w14:textId="77777777" w:rsidR="00263240" w:rsidRPr="00263240" w:rsidRDefault="00263240" w:rsidP="00E73190">
            <w:pPr>
              <w:pStyle w:val="ListParagraph"/>
              <w:ind w:left="0"/>
              <w:rPr>
                <w:sz w:val="20"/>
                <w:szCs w:val="20"/>
              </w:rPr>
            </w:pPr>
            <w:r>
              <w:rPr>
                <w:sz w:val="20"/>
                <w:szCs w:val="20"/>
              </w:rPr>
              <w:t>in 2018.</w:t>
            </w:r>
          </w:p>
        </w:tc>
        <w:tc>
          <w:tcPr>
            <w:tcW w:w="1260" w:type="dxa"/>
            <w:shd w:val="clear" w:color="auto" w:fill="auto"/>
          </w:tcPr>
          <w:p w14:paraId="7911FCD4" w14:textId="77777777" w:rsidR="00263240" w:rsidRPr="009D5FBA" w:rsidRDefault="00263240"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 target </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21D37E4" w14:textId="77777777" w:rsidR="00263240" w:rsidRPr="009D5FBA" w:rsidRDefault="00D14A90" w:rsidP="00E73190">
            <w:pPr>
              <w:pStyle w:val="ListParagraph"/>
              <w:ind w:left="0"/>
              <w:rPr>
                <w:sz w:val="20"/>
                <w:szCs w:val="20"/>
              </w:rPr>
            </w:pPr>
            <w:r>
              <w:rPr>
                <w:sz w:val="20"/>
                <w:szCs w:val="20"/>
              </w:rPr>
              <w:t>PW-SL narrative report</w:t>
            </w:r>
          </w:p>
        </w:tc>
      </w:tr>
      <w:tr w:rsidR="00E73190" w14:paraId="5EB98573"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7BA2BAAA" w14:textId="77777777" w:rsidR="00E73190" w:rsidRPr="009D5FBA" w:rsidRDefault="00E73190" w:rsidP="00E73190">
            <w:pPr>
              <w:pStyle w:val="Default"/>
              <w:keepNext/>
              <w:keepLines/>
              <w:spacing w:before="200"/>
              <w:jc w:val="both"/>
              <w:outlineLvl w:val="6"/>
              <w:rPr>
                <w:rFonts w:asciiTheme="minorHAnsi" w:hAnsiTheme="minorHAnsi" w:cstheme="minorHAnsi"/>
                <w:b w:val="0"/>
                <w:sz w:val="20"/>
                <w:szCs w:val="20"/>
              </w:rPr>
            </w:pPr>
            <w:r w:rsidRPr="009D5FBA">
              <w:rPr>
                <w:rFonts w:asciiTheme="minorHAnsi" w:hAnsiTheme="minorHAnsi" w:cstheme="minorHAnsi"/>
                <w:b w:val="0"/>
                <w:sz w:val="20"/>
                <w:szCs w:val="20"/>
              </w:rPr>
              <w:lastRenderedPageBreak/>
              <w:t># of women and children assisted with legal aid services</w:t>
            </w:r>
          </w:p>
          <w:p w14:paraId="2CE0170D" w14:textId="77777777" w:rsidR="00E73190" w:rsidRPr="009D5FBA" w:rsidRDefault="00E73190" w:rsidP="00E73190">
            <w:pP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2BE11AFA" w14:textId="77777777" w:rsidR="00E73190" w:rsidRPr="009D5FBA" w:rsidRDefault="00E73190" w:rsidP="00E73190">
            <w:pPr>
              <w:pStyle w:val="ListParagraph"/>
              <w:ind w:left="0"/>
              <w:rPr>
                <w:sz w:val="20"/>
                <w:szCs w:val="20"/>
              </w:rPr>
            </w:pPr>
            <w:r w:rsidRPr="009D5FBA">
              <w:rPr>
                <w:bCs/>
                <w:sz w:val="20"/>
                <w:szCs w:val="20"/>
              </w:rPr>
              <w:t>Limited # of individuals especially wo</w:t>
            </w:r>
            <w:r w:rsidRPr="009D5FBA">
              <w:rPr>
                <w:sz w:val="20"/>
                <w:szCs w:val="20"/>
              </w:rPr>
              <w:t>men having access to legal aid</w:t>
            </w:r>
          </w:p>
        </w:tc>
        <w:tc>
          <w:tcPr>
            <w:tcW w:w="1612" w:type="dxa"/>
            <w:shd w:val="clear" w:color="auto" w:fill="auto"/>
          </w:tcPr>
          <w:p w14:paraId="75D4A6B5" w14:textId="77777777" w:rsidR="00E73190" w:rsidRPr="00E73190" w:rsidRDefault="00E73190" w:rsidP="00E73190">
            <w:pPr>
              <w:spacing w:before="60"/>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E73190">
              <w:rPr>
                <w:rFonts w:cstheme="minorHAnsi"/>
                <w:i/>
                <w:sz w:val="20"/>
                <w:szCs w:val="20"/>
              </w:rPr>
              <w:t>45% increase of women, children and other vulnerable groups represented by lawyers for criminal cases in selected areas, including in prisons</w:t>
            </w:r>
          </w:p>
          <w:p w14:paraId="7A0C6F4D" w14:textId="77777777" w:rsidR="00E73190" w:rsidRPr="009D5FBA"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4118E60" w14:textId="15F5F06D" w:rsidR="006035E8" w:rsidRDefault="006035E8" w:rsidP="006035E8">
            <w:pPr>
              <w:pStyle w:val="CommentText"/>
            </w:pPr>
            <w:r>
              <w:t xml:space="preserve">Through the prison courts, focus was on </w:t>
            </w:r>
            <w:proofErr w:type="spellStart"/>
            <w:r>
              <w:t>on</w:t>
            </w:r>
            <w:proofErr w:type="spellEnd"/>
            <w:r>
              <w:t xml:space="preserve"> pre-trial and remand cases that had been pending trial for more than 5 – 12 years and having these escalated to Court hearings.</w:t>
            </w:r>
          </w:p>
          <w:p w14:paraId="708FE30C" w14:textId="77777777" w:rsidR="006035E8" w:rsidRDefault="006035E8" w:rsidP="006035E8">
            <w:pPr>
              <w:pStyle w:val="CommentText"/>
            </w:pPr>
          </w:p>
          <w:p w14:paraId="5B062BF5" w14:textId="1A390A86" w:rsidR="006035E8" w:rsidRDefault="006035E8" w:rsidP="006035E8">
            <w:pPr>
              <w:pStyle w:val="CommentText"/>
            </w:pPr>
            <w:r>
              <w:t>The prison courts instigated the special hearings by the Court of Appeal of 25 urgent cases whereof 24 inmates were released as Prosecution could not present evidence to legitimately continue detention.</w:t>
            </w:r>
          </w:p>
          <w:p w14:paraId="16D145BA" w14:textId="77777777" w:rsidR="006035E8" w:rsidRDefault="006035E8" w:rsidP="006035E8">
            <w:pPr>
              <w:pStyle w:val="CommentText"/>
            </w:pPr>
          </w:p>
          <w:p w14:paraId="756C9D60" w14:textId="77777777" w:rsidR="006035E8" w:rsidRDefault="006035E8" w:rsidP="006035E8">
            <w:pPr>
              <w:pStyle w:val="CommentText"/>
            </w:pPr>
            <w:r>
              <w:t xml:space="preserve">2 women were among the released. </w:t>
            </w:r>
          </w:p>
          <w:p w14:paraId="62DE5D8A" w14:textId="77777777" w:rsidR="006035E8" w:rsidRDefault="006035E8" w:rsidP="006035E8">
            <w:pPr>
              <w:pStyle w:val="CommentText"/>
            </w:pPr>
          </w:p>
          <w:p w14:paraId="4A16DF6C" w14:textId="54275268" w:rsidR="00E73190" w:rsidRPr="009D5FBA" w:rsidRDefault="006035E8" w:rsidP="00F57009">
            <w:pPr>
              <w:pStyle w:val="CommentText"/>
            </w:pPr>
            <w:r>
              <w:t xml:space="preserve">The prison courts </w:t>
            </w:r>
            <w:proofErr w:type="gramStart"/>
            <w:r>
              <w:t>has</w:t>
            </w:r>
            <w:proofErr w:type="gramEnd"/>
            <w:r>
              <w:t xml:space="preserve"> heightened the focus on the situation of the pre-trial and remand population which has led to the issuance of more than 400 indictments in August 2018.</w:t>
            </w:r>
          </w:p>
        </w:tc>
        <w:tc>
          <w:tcPr>
            <w:tcW w:w="1260" w:type="dxa"/>
            <w:shd w:val="clear" w:color="auto" w:fill="auto"/>
          </w:tcPr>
          <w:p w14:paraId="6A861536" w14:textId="77777777" w:rsidR="00E73190" w:rsidRPr="009D5FBA"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4E8B6CC" w14:textId="0333F4BB" w:rsidR="00E73190" w:rsidRPr="009D5FBA" w:rsidRDefault="006035E8" w:rsidP="00E73190">
            <w:pPr>
              <w:pStyle w:val="ListParagraph"/>
              <w:ind w:left="0"/>
              <w:rPr>
                <w:sz w:val="20"/>
                <w:szCs w:val="20"/>
              </w:rPr>
            </w:pPr>
            <w:r>
              <w:rPr>
                <w:sz w:val="20"/>
                <w:szCs w:val="20"/>
              </w:rPr>
              <w:t xml:space="preserve">Report on LOA with SLCS </w:t>
            </w:r>
          </w:p>
        </w:tc>
      </w:tr>
      <w:tr w:rsidR="00E73190" w14:paraId="22AE523D"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0E4188B6" w14:textId="77777777" w:rsidR="00E73190" w:rsidRPr="009D5FBA" w:rsidRDefault="00E73190" w:rsidP="00E73190">
            <w:pPr>
              <w:pStyle w:val="Default"/>
              <w:keepNext/>
              <w:keepLines/>
              <w:spacing w:before="200"/>
              <w:jc w:val="both"/>
              <w:outlineLvl w:val="6"/>
              <w:rPr>
                <w:rFonts w:asciiTheme="minorHAnsi" w:hAnsiTheme="minorHAnsi" w:cstheme="minorHAnsi"/>
                <w:b w:val="0"/>
                <w:sz w:val="20"/>
                <w:szCs w:val="20"/>
              </w:rPr>
            </w:pPr>
            <w:r w:rsidRPr="009D5FBA">
              <w:rPr>
                <w:rFonts w:asciiTheme="minorHAnsi" w:hAnsiTheme="minorHAnsi" w:cstheme="minorHAnsi"/>
                <w:b w:val="0"/>
                <w:sz w:val="20"/>
                <w:szCs w:val="20"/>
                <w:lang w:eastAsia="en-GB"/>
              </w:rPr>
              <w:lastRenderedPageBreak/>
              <w:t>#</w:t>
            </w:r>
            <w:r w:rsidRPr="009D5FBA">
              <w:rPr>
                <w:rFonts w:asciiTheme="minorHAnsi" w:hAnsiTheme="minorHAnsi" w:cstheme="minorHAnsi"/>
                <w:b w:val="0"/>
                <w:sz w:val="20"/>
                <w:szCs w:val="20"/>
              </w:rPr>
              <w:t xml:space="preserve"> of cases resolved through legal aid in prison and police stations</w:t>
            </w:r>
          </w:p>
          <w:p w14:paraId="0326723B" w14:textId="77777777" w:rsidR="00E73190" w:rsidRPr="009D5FBA" w:rsidRDefault="00E73190" w:rsidP="00E73190">
            <w:pP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74F8F92D" w14:textId="77777777" w:rsidR="00E73190" w:rsidRPr="00E73190" w:rsidRDefault="00E73190" w:rsidP="00E73190">
            <w:pPr>
              <w:pStyle w:val="ListParagraph"/>
              <w:ind w:left="0"/>
              <w:rPr>
                <w:rFonts w:cstheme="minorHAnsi"/>
                <w:sz w:val="20"/>
                <w:szCs w:val="20"/>
              </w:rPr>
            </w:pPr>
            <w:r w:rsidRPr="00E73190">
              <w:rPr>
                <w:rFonts w:cstheme="minorHAnsi"/>
                <w:i/>
                <w:sz w:val="20"/>
                <w:szCs w:val="20"/>
              </w:rPr>
              <w:t>Majority of people in prison have not been legally represented</w:t>
            </w:r>
          </w:p>
        </w:tc>
        <w:tc>
          <w:tcPr>
            <w:tcW w:w="1612" w:type="dxa"/>
            <w:shd w:val="clear" w:color="auto" w:fill="auto"/>
          </w:tcPr>
          <w:p w14:paraId="0E7C38F3" w14:textId="77777777" w:rsidR="00E73190" w:rsidRPr="00E73190" w:rsidRDefault="00E73190" w:rsidP="00E73190">
            <w:pPr>
              <w:spacing w:before="6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E73190">
              <w:rPr>
                <w:rFonts w:cstheme="minorHAnsi"/>
                <w:i/>
                <w:sz w:val="20"/>
                <w:szCs w:val="20"/>
              </w:rPr>
              <w:t>45% increase of women, children and other vulnerable groups represented by lawyers for criminal cases in selected areas, including in prisons</w:t>
            </w:r>
          </w:p>
          <w:p w14:paraId="4EA18796" w14:textId="77777777" w:rsidR="00E73190" w:rsidRPr="00E73190" w:rsidRDefault="00E73190" w:rsidP="00E7319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25DB6002" w14:textId="77777777" w:rsidR="00E73190" w:rsidRPr="009D5FBA" w:rsidRDefault="00D14A90" w:rsidP="00D378E5">
            <w:pPr>
              <w:pStyle w:val="ListParagraph"/>
              <w:ind w:left="0"/>
              <w:rPr>
                <w:sz w:val="20"/>
                <w:szCs w:val="20"/>
              </w:rPr>
            </w:pPr>
            <w:r>
              <w:rPr>
                <w:rFonts w:cstheme="minorHAnsi"/>
                <w:sz w:val="20"/>
                <w:szCs w:val="20"/>
              </w:rPr>
              <w:t xml:space="preserve">The entire </w:t>
            </w:r>
            <w:r w:rsidR="00D378E5" w:rsidRPr="00D378E5">
              <w:rPr>
                <w:rFonts w:cstheme="minorHAnsi"/>
                <w:sz w:val="20"/>
                <w:szCs w:val="20"/>
              </w:rPr>
              <w:t>Prison Pilot Court</w:t>
            </w:r>
            <w:r>
              <w:rPr>
                <w:rFonts w:cstheme="minorHAnsi"/>
                <w:sz w:val="20"/>
                <w:szCs w:val="20"/>
              </w:rPr>
              <w:t xml:space="preserve"> </w:t>
            </w:r>
            <w:r w:rsidR="00D378E5" w:rsidRPr="00D378E5">
              <w:rPr>
                <w:rFonts w:cstheme="minorHAnsi"/>
                <w:sz w:val="20"/>
                <w:szCs w:val="20"/>
              </w:rPr>
              <w:t>s</w:t>
            </w:r>
            <w:r>
              <w:rPr>
                <w:rFonts w:cstheme="minorHAnsi"/>
                <w:sz w:val="20"/>
                <w:szCs w:val="20"/>
              </w:rPr>
              <w:t>essions have</w:t>
            </w:r>
            <w:r w:rsidR="00D378E5" w:rsidRPr="00D378E5">
              <w:rPr>
                <w:rFonts w:cstheme="minorHAnsi"/>
                <w:sz w:val="20"/>
                <w:szCs w:val="20"/>
              </w:rPr>
              <w:t xml:space="preserve"> reviewed more than 1</w:t>
            </w:r>
            <w:r w:rsidR="00FB7F24">
              <w:rPr>
                <w:rFonts w:cstheme="minorHAnsi"/>
                <w:sz w:val="20"/>
                <w:szCs w:val="20"/>
              </w:rPr>
              <w:t>,</w:t>
            </w:r>
            <w:r>
              <w:rPr>
                <w:rFonts w:cstheme="minorHAnsi"/>
                <w:sz w:val="20"/>
                <w:szCs w:val="20"/>
              </w:rPr>
              <w:t>2</w:t>
            </w:r>
            <w:r w:rsidR="00D378E5" w:rsidRPr="00D378E5">
              <w:rPr>
                <w:rFonts w:cstheme="minorHAnsi"/>
                <w:sz w:val="20"/>
                <w:szCs w:val="20"/>
              </w:rPr>
              <w:t>00 cases</w:t>
            </w:r>
            <w:r w:rsidR="00FB7F24">
              <w:rPr>
                <w:rFonts w:cstheme="minorHAnsi"/>
                <w:sz w:val="20"/>
                <w:szCs w:val="20"/>
              </w:rPr>
              <w:t xml:space="preserve"> with over 650 benefiting from support to access detailed information on their cases. Over 250 </w:t>
            </w:r>
            <w:r w:rsidR="00D378E5" w:rsidRPr="00D378E5">
              <w:rPr>
                <w:rFonts w:cstheme="minorHAnsi"/>
                <w:sz w:val="20"/>
                <w:szCs w:val="20"/>
              </w:rPr>
              <w:t xml:space="preserve">inmates without indictments have since been served and the trials have now commenced </w:t>
            </w:r>
            <w:r w:rsidR="00FB7F24">
              <w:rPr>
                <w:rFonts w:cstheme="minorHAnsi"/>
                <w:sz w:val="20"/>
                <w:szCs w:val="20"/>
              </w:rPr>
              <w:t xml:space="preserve">in many of the cases at </w:t>
            </w:r>
            <w:r w:rsidR="00D378E5" w:rsidRPr="00D378E5">
              <w:rPr>
                <w:rFonts w:cstheme="minorHAnsi"/>
                <w:sz w:val="20"/>
                <w:szCs w:val="20"/>
              </w:rPr>
              <w:t xml:space="preserve">the High Courts. </w:t>
            </w:r>
            <w:r w:rsidR="00FB7F24">
              <w:rPr>
                <w:sz w:val="20"/>
                <w:szCs w:val="20"/>
              </w:rPr>
              <w:t xml:space="preserve"> </w:t>
            </w:r>
          </w:p>
        </w:tc>
        <w:tc>
          <w:tcPr>
            <w:tcW w:w="1260" w:type="dxa"/>
            <w:shd w:val="clear" w:color="auto" w:fill="auto"/>
          </w:tcPr>
          <w:p w14:paraId="6BFEF062" w14:textId="77777777" w:rsidR="00E73190" w:rsidRPr="009D5FBA" w:rsidRDefault="00D378E5"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 target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2E58E0A1" w14:textId="5E5C54C5" w:rsidR="00E73190" w:rsidRPr="009D5FBA" w:rsidRDefault="00D378E5" w:rsidP="00E73190">
            <w:pPr>
              <w:pStyle w:val="ListParagraph"/>
              <w:ind w:left="0"/>
              <w:rPr>
                <w:sz w:val="20"/>
                <w:szCs w:val="20"/>
              </w:rPr>
            </w:pPr>
            <w:r>
              <w:rPr>
                <w:sz w:val="20"/>
                <w:szCs w:val="20"/>
              </w:rPr>
              <w:t>Report</w:t>
            </w:r>
            <w:r w:rsidR="0004536C">
              <w:rPr>
                <w:sz w:val="20"/>
                <w:szCs w:val="20"/>
              </w:rPr>
              <w:t>s</w:t>
            </w:r>
            <w:r>
              <w:rPr>
                <w:sz w:val="20"/>
                <w:szCs w:val="20"/>
              </w:rPr>
              <w:t xml:space="preserve"> from </w:t>
            </w:r>
            <w:r w:rsidR="00FB7F24">
              <w:rPr>
                <w:sz w:val="20"/>
                <w:szCs w:val="20"/>
              </w:rPr>
              <w:t xml:space="preserve">PW-SL Judiciary; </w:t>
            </w:r>
          </w:p>
        </w:tc>
      </w:tr>
      <w:tr w:rsidR="00E73190" w14:paraId="4C60D0A3" w14:textId="77777777" w:rsidTr="0006735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710" w:type="dxa"/>
            <w:gridSpan w:val="6"/>
            <w:shd w:val="clear" w:color="auto" w:fill="EEECE1" w:themeFill="background2"/>
          </w:tcPr>
          <w:p w14:paraId="1495A828" w14:textId="77777777" w:rsidR="00E73190" w:rsidRDefault="00E73190" w:rsidP="00E73190">
            <w:pPr>
              <w:pStyle w:val="ListParagraph"/>
              <w:ind w:left="0"/>
            </w:pPr>
            <w:r>
              <w:t xml:space="preserve">Output </w:t>
            </w:r>
            <w:proofErr w:type="gramStart"/>
            <w:r>
              <w:t>3 :</w:t>
            </w:r>
            <w:proofErr w:type="gramEnd"/>
            <w:r>
              <w:t xml:space="preserve"> </w:t>
            </w:r>
            <w:r w:rsidRPr="00F10798">
              <w:t>Strengthened justice and security sector institutions to deliver effective services closer to the people and in compliance with human rights standards</w:t>
            </w:r>
            <w:r>
              <w:t xml:space="preserve">. </w:t>
            </w:r>
          </w:p>
        </w:tc>
      </w:tr>
      <w:tr w:rsidR="00E73190" w14:paraId="264D72D2"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3930C958" w14:textId="77777777" w:rsidR="00E73190" w:rsidRDefault="00E73190" w:rsidP="00E73190">
            <w:pPr>
              <w:pStyle w:val="ListParagraph"/>
              <w:ind w:left="0"/>
              <w:rPr>
                <w:b w:val="0"/>
                <w:sz w:val="20"/>
                <w:szCs w:val="20"/>
              </w:rPr>
            </w:pPr>
            <w:r w:rsidRPr="009D5FBA">
              <w:rPr>
                <w:b w:val="0"/>
                <w:sz w:val="20"/>
                <w:szCs w:val="20"/>
              </w:rPr>
              <w:t xml:space="preserve"># IPCB staff </w:t>
            </w:r>
            <w:r w:rsidR="00733A41">
              <w:rPr>
                <w:b w:val="0"/>
                <w:sz w:val="20"/>
                <w:szCs w:val="20"/>
              </w:rPr>
              <w:t xml:space="preserve">and security sector partners </w:t>
            </w:r>
            <w:r w:rsidRPr="009D5FBA">
              <w:rPr>
                <w:b w:val="0"/>
                <w:sz w:val="20"/>
                <w:szCs w:val="20"/>
              </w:rPr>
              <w:t>benefitting from investigative capacity strengthening initiatives</w:t>
            </w:r>
          </w:p>
          <w:p w14:paraId="1FA8FD6D" w14:textId="77777777" w:rsidR="00FB7F24" w:rsidRDefault="00FB7F24" w:rsidP="00E73190">
            <w:pPr>
              <w:pStyle w:val="ListParagraph"/>
              <w:ind w:left="0"/>
              <w:rPr>
                <w:b w:val="0"/>
                <w:sz w:val="20"/>
                <w:szCs w:val="20"/>
              </w:rPr>
            </w:pPr>
          </w:p>
          <w:p w14:paraId="310F0AE0" w14:textId="77777777" w:rsidR="00FB7F24" w:rsidRPr="009D5FBA" w:rsidRDefault="00FB7F24" w:rsidP="00E73190">
            <w:pPr>
              <w:pStyle w:val="ListParagraph"/>
              <w:ind w:left="0"/>
              <w:rPr>
                <w:b w:val="0"/>
                <w:sz w:val="20"/>
                <w:szCs w:val="20"/>
              </w:rPr>
            </w:pPr>
            <w:r>
              <w:rPr>
                <w:b w:val="0"/>
                <w:sz w:val="20"/>
                <w:szCs w:val="20"/>
              </w:rPr>
              <w:t xml:space="preserve"># joint coordination meetings held </w:t>
            </w: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292109C5" w14:textId="77777777" w:rsidR="00E73190" w:rsidRDefault="00E73190" w:rsidP="00E73190">
            <w:pPr>
              <w:rPr>
                <w:sz w:val="20"/>
                <w:szCs w:val="20"/>
              </w:rPr>
            </w:pPr>
            <w:r w:rsidRPr="009D5FBA">
              <w:rPr>
                <w:sz w:val="20"/>
                <w:szCs w:val="20"/>
              </w:rPr>
              <w:t>Limited investigative capacity of the IPCB</w:t>
            </w:r>
            <w:r w:rsidR="00A7449C">
              <w:rPr>
                <w:sz w:val="20"/>
                <w:szCs w:val="20"/>
              </w:rPr>
              <w:t xml:space="preserve"> and other sector partners</w:t>
            </w:r>
          </w:p>
          <w:p w14:paraId="73808E99" w14:textId="77777777" w:rsidR="00FB7F24" w:rsidRDefault="00FB7F24" w:rsidP="00E73190">
            <w:pPr>
              <w:rPr>
                <w:sz w:val="20"/>
                <w:szCs w:val="20"/>
              </w:rPr>
            </w:pPr>
          </w:p>
          <w:p w14:paraId="25EB8117" w14:textId="77777777" w:rsidR="00FB7F24" w:rsidRPr="009D5FBA" w:rsidRDefault="00FB7F24" w:rsidP="00E73190">
            <w:pPr>
              <w:rPr>
                <w:sz w:val="20"/>
                <w:szCs w:val="20"/>
              </w:rPr>
            </w:pPr>
            <w:r>
              <w:rPr>
                <w:sz w:val="20"/>
                <w:szCs w:val="20"/>
              </w:rPr>
              <w:t>Limited coordination in the security sector hampering the operation of oversight bodies</w:t>
            </w:r>
          </w:p>
        </w:tc>
        <w:tc>
          <w:tcPr>
            <w:tcW w:w="1612" w:type="dxa"/>
            <w:shd w:val="clear" w:color="auto" w:fill="auto"/>
          </w:tcPr>
          <w:p w14:paraId="56C40C6C" w14:textId="77777777" w:rsidR="00E73190" w:rsidRDefault="00E73190"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9D5FBA">
              <w:rPr>
                <w:sz w:val="20"/>
                <w:szCs w:val="20"/>
              </w:rPr>
              <w:t>IPCB staff</w:t>
            </w:r>
            <w:r w:rsidR="00A7449C">
              <w:rPr>
                <w:sz w:val="20"/>
                <w:szCs w:val="20"/>
              </w:rPr>
              <w:t xml:space="preserve"> and other security sector </w:t>
            </w:r>
            <w:proofErr w:type="gramStart"/>
            <w:r w:rsidR="00A7449C">
              <w:rPr>
                <w:sz w:val="20"/>
                <w:szCs w:val="20"/>
              </w:rPr>
              <w:t xml:space="preserve">partners </w:t>
            </w:r>
            <w:r w:rsidRPr="009D5FBA">
              <w:rPr>
                <w:sz w:val="20"/>
                <w:szCs w:val="20"/>
              </w:rPr>
              <w:t xml:space="preserve"> from</w:t>
            </w:r>
            <w:proofErr w:type="gramEnd"/>
            <w:r w:rsidRPr="009D5FBA">
              <w:rPr>
                <w:sz w:val="20"/>
                <w:szCs w:val="20"/>
              </w:rPr>
              <w:t xml:space="preserve"> the investigative unit have skills enhanced</w:t>
            </w:r>
          </w:p>
          <w:p w14:paraId="3A1D667F" w14:textId="77777777" w:rsidR="00FB7F24" w:rsidRDefault="00FB7F24"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14F1F91F" w14:textId="77777777" w:rsidR="00FB7F24" w:rsidRPr="009D5FBA" w:rsidRDefault="00FB7F24"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Joint coordination meetings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21EECBB7" w14:textId="77777777" w:rsidR="00E73190" w:rsidRPr="009D5FBA" w:rsidRDefault="00A7449C" w:rsidP="00E73190">
            <w:pPr>
              <w:pStyle w:val="ListParagraph"/>
              <w:ind w:left="0"/>
              <w:rPr>
                <w:sz w:val="20"/>
                <w:szCs w:val="20"/>
              </w:rPr>
            </w:pPr>
            <w:r>
              <w:rPr>
                <w:sz w:val="20"/>
                <w:szCs w:val="20"/>
              </w:rPr>
              <w:t xml:space="preserve">The IPCB together with personnel from security sector institutions have conducted 2 coordination </w:t>
            </w:r>
            <w:proofErr w:type="gramStart"/>
            <w:r>
              <w:rPr>
                <w:sz w:val="20"/>
                <w:szCs w:val="20"/>
              </w:rPr>
              <w:t>workshops  and</w:t>
            </w:r>
            <w:proofErr w:type="gramEnd"/>
            <w:r>
              <w:rPr>
                <w:sz w:val="20"/>
                <w:szCs w:val="20"/>
              </w:rPr>
              <w:t xml:space="preserve"> trainings focusing on the implementation of the Luanda Guidelines for Police arrest, detention and treatment. </w:t>
            </w:r>
          </w:p>
        </w:tc>
        <w:tc>
          <w:tcPr>
            <w:tcW w:w="1260" w:type="dxa"/>
            <w:shd w:val="clear" w:color="auto" w:fill="auto"/>
          </w:tcPr>
          <w:p w14:paraId="610A00D2" w14:textId="77777777" w:rsidR="00E73190" w:rsidRPr="009D5FBA" w:rsidRDefault="00E73190"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57CE7438" w14:textId="77777777" w:rsidR="00E73190" w:rsidRPr="009D5FBA" w:rsidRDefault="00E73190" w:rsidP="00E73190">
            <w:pPr>
              <w:pStyle w:val="ListParagraph"/>
              <w:ind w:left="0"/>
              <w:rPr>
                <w:sz w:val="20"/>
                <w:szCs w:val="20"/>
              </w:rPr>
            </w:pPr>
            <w:r w:rsidRPr="009D5FBA">
              <w:rPr>
                <w:sz w:val="20"/>
                <w:szCs w:val="20"/>
              </w:rPr>
              <w:t>Report from LOA with IPCB</w:t>
            </w:r>
            <w:r w:rsidR="00A7449C">
              <w:rPr>
                <w:sz w:val="20"/>
                <w:szCs w:val="20"/>
              </w:rPr>
              <w:t>, 2018</w:t>
            </w:r>
          </w:p>
        </w:tc>
      </w:tr>
      <w:tr w:rsidR="00E73190" w14:paraId="029194C1"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043A9A0A" w14:textId="77777777" w:rsidR="00E73190" w:rsidRPr="00F349A7" w:rsidRDefault="00E73190" w:rsidP="00E73190">
            <w:pPr>
              <w:pStyle w:val="Default"/>
              <w:rPr>
                <w:rFonts w:asciiTheme="minorHAnsi" w:hAnsiTheme="minorHAnsi" w:cstheme="minorHAnsi"/>
                <w:b w:val="0"/>
                <w:sz w:val="20"/>
                <w:szCs w:val="20"/>
              </w:rPr>
            </w:pPr>
            <w:r w:rsidRPr="0088145D">
              <w:rPr>
                <w:rFonts w:asciiTheme="minorHAnsi" w:hAnsiTheme="minorHAnsi" w:cstheme="minorHAnsi"/>
                <w:b w:val="0"/>
                <w:sz w:val="20"/>
                <w:szCs w:val="20"/>
              </w:rPr>
              <w:t># of reports submitted on time to UPR, treaty bodies and special procedures</w:t>
            </w:r>
          </w:p>
          <w:p w14:paraId="57342A81" w14:textId="77777777" w:rsidR="00E73190" w:rsidRPr="00F349A7" w:rsidRDefault="00E73190" w:rsidP="00E73190">
            <w:pPr>
              <w:pStyle w:val="Default"/>
              <w:rPr>
                <w:rFonts w:asciiTheme="minorHAnsi" w:hAnsiTheme="minorHAnsi" w:cstheme="minorHAnsi"/>
                <w:b w:val="0"/>
                <w:sz w:val="20"/>
                <w:szCs w:val="20"/>
              </w:rPr>
            </w:pPr>
            <w:r w:rsidRPr="00F349A7">
              <w:rPr>
                <w:rFonts w:asciiTheme="minorHAnsi" w:hAnsiTheme="minorHAnsi" w:cstheme="minorHAnsi"/>
                <w:b w:val="0"/>
                <w:sz w:val="20"/>
                <w:szCs w:val="20"/>
              </w:rPr>
              <w:t># of Universal Periodic Review (UPR) recommendations fully implemented by the GOSL</w:t>
            </w:r>
          </w:p>
          <w:p w14:paraId="074F6B89" w14:textId="77777777" w:rsidR="00E73190" w:rsidRPr="00F349A7" w:rsidRDefault="00E73190" w:rsidP="00E73190">
            <w:pPr>
              <w:pStyle w:val="Default"/>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0CDD23FD" w14:textId="77777777" w:rsidR="00E73190" w:rsidRPr="006466FC" w:rsidRDefault="008E38DB" w:rsidP="00E73190">
            <w:pPr>
              <w:rPr>
                <w:sz w:val="20"/>
                <w:szCs w:val="20"/>
              </w:rPr>
            </w:pPr>
            <w:r w:rsidRPr="006466FC">
              <w:rPr>
                <w:sz w:val="20"/>
                <w:szCs w:val="20"/>
              </w:rPr>
              <w:t>No previous report submitted by the HRC-SL to UPR, treaty bodies or special procedures</w:t>
            </w:r>
          </w:p>
          <w:p w14:paraId="1ABA63C0" w14:textId="77777777" w:rsidR="00145E9D" w:rsidRPr="006466FC" w:rsidRDefault="00145E9D" w:rsidP="00E73190">
            <w:pPr>
              <w:rPr>
                <w:sz w:val="20"/>
                <w:szCs w:val="20"/>
              </w:rPr>
            </w:pPr>
          </w:p>
          <w:p w14:paraId="7B91711F" w14:textId="77777777" w:rsidR="00145E9D" w:rsidRPr="006466FC" w:rsidRDefault="00145E9D" w:rsidP="00E73190">
            <w:pPr>
              <w:rPr>
                <w:sz w:val="20"/>
                <w:szCs w:val="20"/>
              </w:rPr>
            </w:pPr>
            <w:r w:rsidRPr="006466FC">
              <w:rPr>
                <w:sz w:val="20"/>
                <w:szCs w:val="20"/>
              </w:rPr>
              <w:t xml:space="preserve">No previous UPR </w:t>
            </w:r>
            <w:r w:rsidR="002D2430" w:rsidRPr="006466FC">
              <w:rPr>
                <w:sz w:val="20"/>
                <w:szCs w:val="20"/>
              </w:rPr>
              <w:t xml:space="preserve">&amp; treaty body </w:t>
            </w:r>
            <w:proofErr w:type="gramStart"/>
            <w:r w:rsidRPr="006466FC">
              <w:rPr>
                <w:sz w:val="20"/>
                <w:szCs w:val="20"/>
              </w:rPr>
              <w:t>recommendation</w:t>
            </w:r>
            <w:r w:rsidR="002D2430" w:rsidRPr="006466FC">
              <w:rPr>
                <w:sz w:val="20"/>
                <w:szCs w:val="20"/>
              </w:rPr>
              <w:t xml:space="preserve"> </w:t>
            </w:r>
            <w:r w:rsidRPr="006466FC">
              <w:rPr>
                <w:sz w:val="20"/>
                <w:szCs w:val="20"/>
              </w:rPr>
              <w:t xml:space="preserve"> implemented</w:t>
            </w:r>
            <w:proofErr w:type="gramEnd"/>
            <w:r w:rsidRPr="006466FC">
              <w:rPr>
                <w:sz w:val="20"/>
                <w:szCs w:val="20"/>
              </w:rPr>
              <w:t xml:space="preserve"> by </w:t>
            </w:r>
            <w:r w:rsidR="002D2430" w:rsidRPr="006466FC">
              <w:rPr>
                <w:sz w:val="20"/>
                <w:szCs w:val="20"/>
              </w:rPr>
              <w:t>GO</w:t>
            </w:r>
            <w:r w:rsidRPr="006466FC">
              <w:rPr>
                <w:sz w:val="20"/>
                <w:szCs w:val="20"/>
              </w:rPr>
              <w:t xml:space="preserve">SL before 2016 </w:t>
            </w:r>
          </w:p>
        </w:tc>
        <w:tc>
          <w:tcPr>
            <w:tcW w:w="1612" w:type="dxa"/>
            <w:shd w:val="clear" w:color="auto" w:fill="auto"/>
          </w:tcPr>
          <w:p w14:paraId="15ADB131" w14:textId="77777777" w:rsidR="00E73190" w:rsidRPr="006466FC" w:rsidRDefault="00145E9D"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466FC">
              <w:rPr>
                <w:sz w:val="20"/>
                <w:szCs w:val="20"/>
              </w:rPr>
              <w:t>At least 1 report submitted to UPR/treaty bodies</w:t>
            </w:r>
            <w:r w:rsidR="0038118F" w:rsidRPr="006466FC">
              <w:rPr>
                <w:sz w:val="20"/>
                <w:szCs w:val="20"/>
              </w:rPr>
              <w:t xml:space="preserve"> </w:t>
            </w:r>
          </w:p>
          <w:p w14:paraId="43737340" w14:textId="77777777" w:rsidR="002D2430" w:rsidRPr="006466FC" w:rsidRDefault="002D243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3F193EE8" w14:textId="77777777" w:rsidR="002D2430" w:rsidRPr="006466FC" w:rsidRDefault="002D2430"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466FC">
              <w:rPr>
                <w:sz w:val="20"/>
                <w:szCs w:val="20"/>
              </w:rPr>
              <w:t xml:space="preserve">At least half of UPR &amp; treaty bodies recommendations fully implemented by GOSL &amp; monitored by HRC-SL </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468F3042" w14:textId="77777777" w:rsidR="00E73190" w:rsidRPr="006466FC" w:rsidRDefault="00145E9D" w:rsidP="00E73190">
            <w:pPr>
              <w:pStyle w:val="ListParagraph"/>
              <w:ind w:left="0"/>
              <w:rPr>
                <w:sz w:val="20"/>
                <w:szCs w:val="20"/>
              </w:rPr>
            </w:pPr>
            <w:r w:rsidRPr="006466FC">
              <w:rPr>
                <w:sz w:val="20"/>
                <w:szCs w:val="20"/>
              </w:rPr>
              <w:t>The HRC-SL were able to submit an alternative report on the state of human rights to the Human Rights Council during the review of SL in 201</w:t>
            </w:r>
            <w:r w:rsidR="00A7449C" w:rsidRPr="006466FC">
              <w:rPr>
                <w:sz w:val="20"/>
                <w:szCs w:val="20"/>
              </w:rPr>
              <w:t>7</w:t>
            </w:r>
          </w:p>
          <w:p w14:paraId="7E3B35FB" w14:textId="77777777" w:rsidR="002D2430" w:rsidRPr="006466FC" w:rsidRDefault="002D2430" w:rsidP="00E73190">
            <w:pPr>
              <w:pStyle w:val="ListParagraph"/>
              <w:ind w:left="0"/>
              <w:rPr>
                <w:sz w:val="20"/>
                <w:szCs w:val="20"/>
              </w:rPr>
            </w:pPr>
          </w:p>
          <w:p w14:paraId="4092CE80" w14:textId="77777777" w:rsidR="002D2430" w:rsidRPr="006466FC" w:rsidRDefault="002D2430" w:rsidP="00E73190">
            <w:pPr>
              <w:pStyle w:val="ListParagraph"/>
              <w:ind w:left="0"/>
              <w:rPr>
                <w:sz w:val="20"/>
                <w:szCs w:val="20"/>
              </w:rPr>
            </w:pPr>
            <w:r w:rsidRPr="006466FC">
              <w:rPr>
                <w:sz w:val="20"/>
                <w:szCs w:val="20"/>
              </w:rPr>
              <w:t>In 201</w:t>
            </w:r>
            <w:r w:rsidR="00A7449C" w:rsidRPr="006466FC">
              <w:rPr>
                <w:sz w:val="20"/>
                <w:szCs w:val="20"/>
              </w:rPr>
              <w:t>8</w:t>
            </w:r>
            <w:r w:rsidRPr="006466FC">
              <w:rPr>
                <w:sz w:val="20"/>
                <w:szCs w:val="20"/>
              </w:rPr>
              <w:t xml:space="preserve">, the HRC-SL has developed a tool to monitor and track the implementation of the UPR and treaty body </w:t>
            </w:r>
            <w:r w:rsidRPr="006466FC">
              <w:rPr>
                <w:sz w:val="20"/>
                <w:szCs w:val="20"/>
              </w:rPr>
              <w:lastRenderedPageBreak/>
              <w:t xml:space="preserve">recommendations by the GOSL. </w:t>
            </w:r>
          </w:p>
        </w:tc>
        <w:tc>
          <w:tcPr>
            <w:tcW w:w="1260" w:type="dxa"/>
            <w:shd w:val="clear" w:color="auto" w:fill="auto"/>
          </w:tcPr>
          <w:p w14:paraId="5B08E921" w14:textId="77777777" w:rsidR="00204F1E" w:rsidRPr="006466FC" w:rsidRDefault="00D06BEA"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466FC">
              <w:rPr>
                <w:sz w:val="20"/>
                <w:szCs w:val="20"/>
              </w:rPr>
              <w:lastRenderedPageBreak/>
              <w:t xml:space="preserve">UNDP’s support to the HRC was suspended for last quarter as it became increasingly clear that the institution was marred by internal challenges and observed limitations </w:t>
            </w:r>
            <w:r w:rsidRPr="006466FC">
              <w:rPr>
                <w:sz w:val="20"/>
                <w:szCs w:val="20"/>
              </w:rPr>
              <w:lastRenderedPageBreak/>
              <w:t xml:space="preserve">in their reporting obligations with apparent lack of willingness to engage UNDP meaningfully </w:t>
            </w:r>
          </w:p>
          <w:p w14:paraId="7FE46EA7"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7975EA6F"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3BAFA893"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CE2D9CE"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05CA9BD7"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48C93F14"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6B85B00A" w14:textId="77777777" w:rsidR="00204F1E" w:rsidRPr="006466FC" w:rsidRDefault="00204F1E"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2BF5E4E" w14:textId="77777777" w:rsidR="00E73190" w:rsidRPr="006466FC" w:rsidRDefault="008E38DB" w:rsidP="00E73190">
            <w:pPr>
              <w:pStyle w:val="ListParagraph"/>
              <w:ind w:left="0"/>
              <w:rPr>
                <w:sz w:val="20"/>
                <w:szCs w:val="20"/>
              </w:rPr>
            </w:pPr>
            <w:r w:rsidRPr="006466FC">
              <w:rPr>
                <w:sz w:val="20"/>
                <w:szCs w:val="20"/>
              </w:rPr>
              <w:lastRenderedPageBreak/>
              <w:t>HRC-SL Annual Report, 201</w:t>
            </w:r>
            <w:r w:rsidR="00D06BEA" w:rsidRPr="006466FC">
              <w:rPr>
                <w:sz w:val="20"/>
                <w:szCs w:val="20"/>
              </w:rPr>
              <w:t>8</w:t>
            </w:r>
          </w:p>
        </w:tc>
      </w:tr>
      <w:tr w:rsidR="00263240" w:rsidRPr="008C6F71" w14:paraId="6D35F9F4"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26046F5B" w14:textId="77777777" w:rsidR="00263240" w:rsidRPr="008C6F71" w:rsidRDefault="00263240" w:rsidP="00263240">
            <w:pPr>
              <w:pStyle w:val="Default"/>
              <w:keepNext/>
              <w:keepLines/>
              <w:spacing w:before="200"/>
              <w:jc w:val="both"/>
              <w:outlineLvl w:val="6"/>
              <w:rPr>
                <w:rFonts w:asciiTheme="minorHAnsi" w:hAnsiTheme="minorHAnsi" w:cstheme="minorHAnsi"/>
                <w:b w:val="0"/>
                <w:sz w:val="20"/>
                <w:szCs w:val="20"/>
              </w:rPr>
            </w:pPr>
            <w:r w:rsidRPr="008C6F71">
              <w:rPr>
                <w:rFonts w:asciiTheme="minorHAnsi" w:hAnsiTheme="minorHAnsi" w:cstheme="minorHAnsi"/>
                <w:b w:val="0"/>
                <w:sz w:val="20"/>
                <w:szCs w:val="20"/>
              </w:rPr>
              <w:t># of complaints against the Police received and decided by IPCB, HRCSL, CDIID</w:t>
            </w: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1330CC39" w14:textId="77777777" w:rsidR="00263240" w:rsidRPr="008C6F71" w:rsidRDefault="00263240" w:rsidP="00263240">
            <w:pPr>
              <w:rPr>
                <w:rFonts w:cstheme="minorHAnsi"/>
                <w:sz w:val="20"/>
                <w:szCs w:val="20"/>
              </w:rPr>
            </w:pPr>
            <w:r w:rsidRPr="008C6F71">
              <w:rPr>
                <w:rFonts w:cstheme="minorHAnsi"/>
                <w:sz w:val="20"/>
                <w:szCs w:val="20"/>
              </w:rPr>
              <w:t>Limited investigative capacity of the IPCB</w:t>
            </w:r>
          </w:p>
        </w:tc>
        <w:tc>
          <w:tcPr>
            <w:tcW w:w="1612" w:type="dxa"/>
            <w:shd w:val="clear" w:color="auto" w:fill="auto"/>
          </w:tcPr>
          <w:p w14:paraId="5217748F" w14:textId="77777777" w:rsidR="00263240" w:rsidRPr="008C6F71" w:rsidRDefault="008C6F71" w:rsidP="0026324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6F71">
              <w:rPr>
                <w:rFonts w:cstheme="minorHAnsi"/>
                <w:i/>
                <w:sz w:val="20"/>
                <w:szCs w:val="20"/>
              </w:rPr>
              <w:t># increase of complaints, received and concluded over the programme period disaggregated by type of claim, region, gender and result</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68DF6139" w14:textId="77777777" w:rsidR="00263240" w:rsidRPr="008C6F71" w:rsidRDefault="00532C07" w:rsidP="00263240">
            <w:pPr>
              <w:pStyle w:val="ListParagraph"/>
              <w:ind w:left="0"/>
              <w:rPr>
                <w:rFonts w:cstheme="minorHAnsi"/>
                <w:sz w:val="20"/>
                <w:szCs w:val="20"/>
              </w:rPr>
            </w:pPr>
            <w:r>
              <w:rPr>
                <w:rFonts w:cstheme="minorHAnsi"/>
                <w:sz w:val="20"/>
                <w:szCs w:val="20"/>
              </w:rPr>
              <w:t>With 2 investigators successfully recruited, t</w:t>
            </w:r>
            <w:r w:rsidR="008C6F71" w:rsidRPr="008C6F71">
              <w:rPr>
                <w:rFonts w:cstheme="minorHAnsi"/>
                <w:sz w:val="20"/>
                <w:szCs w:val="20"/>
              </w:rPr>
              <w:t>he IPCB</w:t>
            </w:r>
            <w:r>
              <w:rPr>
                <w:rFonts w:cstheme="minorHAnsi"/>
                <w:sz w:val="20"/>
                <w:szCs w:val="20"/>
              </w:rPr>
              <w:t xml:space="preserve"> has concluded the investigation of 12 cases with reports submitted to the DPP for advice and possible indictments or charges to be preferred against individuals for misconduct. </w:t>
            </w:r>
          </w:p>
        </w:tc>
        <w:tc>
          <w:tcPr>
            <w:tcW w:w="1260" w:type="dxa"/>
            <w:shd w:val="clear" w:color="auto" w:fill="auto"/>
          </w:tcPr>
          <w:p w14:paraId="5CA1A84A" w14:textId="77777777" w:rsidR="00263240" w:rsidRPr="008C6F71" w:rsidRDefault="00263240" w:rsidP="0026324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0C1FDE4" w14:textId="77777777" w:rsidR="00263240" w:rsidRPr="008C6F71" w:rsidRDefault="00532C07" w:rsidP="00263240">
            <w:pPr>
              <w:pStyle w:val="ListParagraph"/>
              <w:ind w:left="0"/>
              <w:rPr>
                <w:rFonts w:cstheme="minorHAnsi"/>
                <w:sz w:val="20"/>
                <w:szCs w:val="20"/>
              </w:rPr>
            </w:pPr>
            <w:r>
              <w:rPr>
                <w:rFonts w:cstheme="minorHAnsi"/>
                <w:sz w:val="20"/>
                <w:szCs w:val="20"/>
              </w:rPr>
              <w:t>IPCB 2018 Report</w:t>
            </w:r>
          </w:p>
        </w:tc>
      </w:tr>
      <w:tr w:rsidR="00E73190" w:rsidRPr="008C6F71" w14:paraId="15E8FAA5"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4AC2F595" w14:textId="77777777" w:rsidR="008C6F71" w:rsidRPr="006256B8" w:rsidRDefault="008C6F71" w:rsidP="008C6F71">
            <w:pPr>
              <w:pStyle w:val="Default"/>
              <w:keepNext/>
              <w:keepLines/>
              <w:spacing w:before="200"/>
              <w:jc w:val="both"/>
              <w:outlineLvl w:val="6"/>
              <w:rPr>
                <w:rFonts w:asciiTheme="minorHAnsi" w:hAnsiTheme="minorHAnsi" w:cstheme="minorHAnsi"/>
                <w:b w:val="0"/>
                <w:sz w:val="20"/>
                <w:szCs w:val="20"/>
              </w:rPr>
            </w:pPr>
            <w:r w:rsidRPr="006256B8">
              <w:rPr>
                <w:rFonts w:asciiTheme="minorHAnsi" w:hAnsiTheme="minorHAnsi" w:cstheme="minorHAnsi"/>
                <w:b w:val="0"/>
                <w:sz w:val="20"/>
                <w:szCs w:val="20"/>
              </w:rPr>
              <w:t># people aware of judicial reforms on bail and sentencing and case management</w:t>
            </w:r>
          </w:p>
          <w:p w14:paraId="34543D5B" w14:textId="77777777" w:rsidR="00E73190" w:rsidRPr="006256B8" w:rsidRDefault="00E73190" w:rsidP="00E73190">
            <w:pPr>
              <w:pStyle w:val="Default"/>
              <w:keepNext/>
              <w:keepLines/>
              <w:spacing w:before="200"/>
              <w:jc w:val="both"/>
              <w:outlineLvl w:val="6"/>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1EC298F0" w14:textId="77777777" w:rsidR="00E73190" w:rsidRPr="006256B8" w:rsidRDefault="008C6F71" w:rsidP="00E73190">
            <w:pPr>
              <w:rPr>
                <w:rFonts w:cstheme="minorHAnsi"/>
                <w:sz w:val="20"/>
                <w:szCs w:val="20"/>
              </w:rPr>
            </w:pPr>
            <w:r w:rsidRPr="006256B8">
              <w:rPr>
                <w:rFonts w:cstheme="minorHAnsi"/>
                <w:sz w:val="20"/>
                <w:szCs w:val="20"/>
              </w:rPr>
              <w:t>No bail and sentencing regulations in place</w:t>
            </w:r>
          </w:p>
          <w:p w14:paraId="2A71F09A" w14:textId="77777777" w:rsidR="008C6F71" w:rsidRPr="006256B8" w:rsidRDefault="008C6F71" w:rsidP="00E73190">
            <w:pPr>
              <w:rPr>
                <w:rFonts w:cstheme="minorHAnsi"/>
                <w:sz w:val="20"/>
                <w:szCs w:val="20"/>
              </w:rPr>
            </w:pPr>
            <w:r w:rsidRPr="006256B8">
              <w:rPr>
                <w:rFonts w:cstheme="minorHAnsi"/>
                <w:sz w:val="20"/>
                <w:szCs w:val="20"/>
              </w:rPr>
              <w:t>No awareness of judicial reforms on CPA, bail and sentencing</w:t>
            </w:r>
          </w:p>
        </w:tc>
        <w:tc>
          <w:tcPr>
            <w:tcW w:w="1612" w:type="dxa"/>
            <w:shd w:val="clear" w:color="auto" w:fill="auto"/>
          </w:tcPr>
          <w:p w14:paraId="70280D5F" w14:textId="77777777" w:rsidR="006256B8" w:rsidRPr="006256B8" w:rsidRDefault="006256B8" w:rsidP="006256B8">
            <w:pPr>
              <w:keepNext/>
              <w:keepLines/>
              <w:spacing w:before="60"/>
              <w:outlineLvl w:val="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256B8">
              <w:rPr>
                <w:rFonts w:cstheme="minorHAnsi"/>
                <w:i/>
                <w:sz w:val="20"/>
                <w:szCs w:val="20"/>
              </w:rPr>
              <w:t>Citizens using the justice system are aware of the bail and sentencing regulations and judicial reforms including their application in the Courts</w:t>
            </w:r>
          </w:p>
          <w:p w14:paraId="4B95F603" w14:textId="77777777" w:rsidR="00E73190" w:rsidRPr="006256B8"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530BBEB6" w14:textId="77777777" w:rsidR="006256B8" w:rsidRPr="006256B8" w:rsidRDefault="006256B8" w:rsidP="00532C07">
            <w:pPr>
              <w:pStyle w:val="ListParagraph"/>
              <w:ind w:left="0"/>
              <w:rPr>
                <w:sz w:val="20"/>
                <w:szCs w:val="20"/>
              </w:rPr>
            </w:pPr>
            <w:r w:rsidRPr="006256B8">
              <w:rPr>
                <w:rFonts w:cstheme="minorHAnsi"/>
                <w:sz w:val="20"/>
                <w:szCs w:val="20"/>
              </w:rPr>
              <w:t xml:space="preserve">Development of JLTI </w:t>
            </w:r>
            <w:r w:rsidR="00532C07">
              <w:rPr>
                <w:rFonts w:cstheme="minorHAnsi"/>
                <w:sz w:val="20"/>
                <w:szCs w:val="20"/>
              </w:rPr>
              <w:t xml:space="preserve">paralegal </w:t>
            </w:r>
            <w:r w:rsidRPr="006256B8">
              <w:rPr>
                <w:rFonts w:cstheme="minorHAnsi"/>
                <w:sz w:val="20"/>
                <w:szCs w:val="20"/>
              </w:rPr>
              <w:t>curricul</w:t>
            </w:r>
            <w:r w:rsidR="00532C07">
              <w:rPr>
                <w:rFonts w:cstheme="minorHAnsi"/>
                <w:sz w:val="20"/>
                <w:szCs w:val="20"/>
              </w:rPr>
              <w:t>um completed; bail regulations being progressively rolled-out across 8 Magistrates and 3 High Courts in both Freetown and the provinces</w:t>
            </w:r>
          </w:p>
        </w:tc>
        <w:tc>
          <w:tcPr>
            <w:tcW w:w="1260" w:type="dxa"/>
            <w:shd w:val="clear" w:color="auto" w:fill="auto"/>
          </w:tcPr>
          <w:p w14:paraId="04A01BFF" w14:textId="77777777" w:rsidR="00E73190" w:rsidRPr="008C6F71" w:rsidRDefault="006256B8" w:rsidP="00E7319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 target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D5EAAE1" w14:textId="4CE00BE1" w:rsidR="00E73190" w:rsidRDefault="00532C07" w:rsidP="00E73190">
            <w:pPr>
              <w:pStyle w:val="ListParagraph"/>
              <w:ind w:left="0"/>
              <w:rPr>
                <w:sz w:val="20"/>
                <w:szCs w:val="20"/>
              </w:rPr>
            </w:pPr>
            <w:r>
              <w:rPr>
                <w:sz w:val="20"/>
                <w:szCs w:val="20"/>
              </w:rPr>
              <w:t xml:space="preserve">JSCO JLTI Paralegal curriculum </w:t>
            </w:r>
          </w:p>
          <w:bookmarkStart w:id="12" w:name="_Hlk535832987"/>
          <w:p w14:paraId="4A3482B7" w14:textId="29377224" w:rsidR="00F349A7" w:rsidRDefault="00F349A7" w:rsidP="00E73190">
            <w:pPr>
              <w:pStyle w:val="ListParagraph"/>
              <w:ind w:left="0"/>
              <w:rPr>
                <w:sz w:val="20"/>
                <w:szCs w:val="20"/>
              </w:rPr>
            </w:pPr>
            <w:r>
              <w:rPr>
                <w:sz w:val="20"/>
                <w:szCs w:val="20"/>
              </w:rPr>
              <w:fldChar w:fldCharType="begin"/>
            </w:r>
            <w:r>
              <w:rPr>
                <w:sz w:val="20"/>
                <w:szCs w:val="20"/>
              </w:rPr>
              <w:instrText xml:space="preserve"> HYPERLINK "</w:instrText>
            </w:r>
            <w:r w:rsidRPr="00F349A7">
              <w:rPr>
                <w:sz w:val="20"/>
                <w:szCs w:val="20"/>
              </w:rPr>
              <w:instrText>https://www.facebook.com/The-Judiciary-of-Sierra-Leone-315910822189629/</w:instrText>
            </w:r>
            <w:r>
              <w:rPr>
                <w:sz w:val="20"/>
                <w:szCs w:val="20"/>
              </w:rPr>
              <w:instrText xml:space="preserve">" </w:instrText>
            </w:r>
            <w:r>
              <w:rPr>
                <w:sz w:val="20"/>
                <w:szCs w:val="20"/>
              </w:rPr>
              <w:fldChar w:fldCharType="separate"/>
            </w:r>
            <w:r w:rsidRPr="00AD30E6">
              <w:rPr>
                <w:rStyle w:val="Hyperlink"/>
                <w:sz w:val="20"/>
                <w:szCs w:val="20"/>
              </w:rPr>
              <w:t>https://www.facebook.com/The-Judiciary-of-Sierra-Leone-315910822189629/</w:t>
            </w:r>
            <w:r>
              <w:rPr>
                <w:sz w:val="20"/>
                <w:szCs w:val="20"/>
              </w:rPr>
              <w:fldChar w:fldCharType="end"/>
            </w:r>
            <w:r>
              <w:rPr>
                <w:sz w:val="20"/>
                <w:szCs w:val="20"/>
              </w:rPr>
              <w:t xml:space="preserve"> </w:t>
            </w:r>
          </w:p>
          <w:bookmarkEnd w:id="12"/>
          <w:p w14:paraId="03CE37C8" w14:textId="77777777" w:rsidR="006256B8" w:rsidRDefault="006256B8" w:rsidP="00E73190">
            <w:pPr>
              <w:pStyle w:val="ListParagraph"/>
              <w:ind w:left="0"/>
              <w:rPr>
                <w:sz w:val="20"/>
                <w:szCs w:val="20"/>
              </w:rPr>
            </w:pPr>
          </w:p>
          <w:p w14:paraId="193EB66C" w14:textId="77777777" w:rsidR="006256B8" w:rsidRPr="008C6F71" w:rsidRDefault="006256B8" w:rsidP="00E73190">
            <w:pPr>
              <w:pStyle w:val="ListParagraph"/>
              <w:ind w:left="0"/>
              <w:rPr>
                <w:sz w:val="20"/>
                <w:szCs w:val="20"/>
              </w:rPr>
            </w:pPr>
          </w:p>
        </w:tc>
      </w:tr>
      <w:tr w:rsidR="00E73190" w14:paraId="23B22DFD" w14:textId="77777777" w:rsidTr="0006735A">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25E44244" w14:textId="77777777" w:rsidR="00E73190" w:rsidRPr="006256B8" w:rsidRDefault="00E73190" w:rsidP="00E73190">
            <w:pPr>
              <w:pStyle w:val="Default"/>
              <w:rPr>
                <w:rFonts w:asciiTheme="minorHAnsi" w:hAnsiTheme="minorHAnsi" w:cstheme="minorHAnsi"/>
                <w:b w:val="0"/>
                <w:sz w:val="20"/>
                <w:szCs w:val="20"/>
              </w:rPr>
            </w:pPr>
            <w:r w:rsidRPr="006256B8">
              <w:rPr>
                <w:rFonts w:asciiTheme="minorHAnsi" w:hAnsiTheme="minorHAnsi" w:cstheme="minorHAnsi"/>
                <w:b w:val="0"/>
                <w:sz w:val="20"/>
                <w:szCs w:val="20"/>
              </w:rPr>
              <w:t xml:space="preserve">Correctional Rules in place and applied </w:t>
            </w:r>
          </w:p>
          <w:p w14:paraId="40CEF8A1" w14:textId="77777777" w:rsidR="00E73190" w:rsidRPr="006256B8" w:rsidRDefault="00E73190" w:rsidP="00E73190">
            <w:pPr>
              <w:pStyle w:val="ListParagraph"/>
              <w:ind w:left="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5F250EBB" w14:textId="77777777" w:rsidR="00E73190" w:rsidRPr="006256B8" w:rsidRDefault="006256B8" w:rsidP="00E73190">
            <w:pPr>
              <w:rPr>
                <w:i/>
                <w:sz w:val="20"/>
                <w:szCs w:val="20"/>
              </w:rPr>
            </w:pPr>
            <w:r w:rsidRPr="006256B8">
              <w:rPr>
                <w:i/>
                <w:sz w:val="20"/>
                <w:szCs w:val="20"/>
              </w:rPr>
              <w:t>Correctional legislation does not match modern day Correctional Services</w:t>
            </w:r>
          </w:p>
        </w:tc>
        <w:tc>
          <w:tcPr>
            <w:tcW w:w="1612" w:type="dxa"/>
            <w:shd w:val="clear" w:color="auto" w:fill="auto"/>
          </w:tcPr>
          <w:p w14:paraId="2BB2F866" w14:textId="246A89FE" w:rsidR="00E73190" w:rsidRPr="006256B8" w:rsidRDefault="006256B8" w:rsidP="00E73190">
            <w:pPr>
              <w:pStyle w:val="ListParagraph"/>
              <w:ind w:left="0"/>
              <w:cnfStyle w:val="000000000000" w:firstRow="0" w:lastRow="0" w:firstColumn="0" w:lastColumn="0" w:oddVBand="0" w:evenVBand="0" w:oddHBand="0" w:evenHBand="0" w:firstRowFirstColumn="0" w:firstRowLastColumn="0" w:lastRowFirstColumn="0" w:lastRowLastColumn="0"/>
              <w:rPr>
                <w:i/>
                <w:sz w:val="20"/>
                <w:szCs w:val="20"/>
              </w:rPr>
            </w:pPr>
            <w:r w:rsidRPr="006256B8">
              <w:rPr>
                <w:i/>
                <w:sz w:val="20"/>
                <w:szCs w:val="20"/>
              </w:rPr>
              <w:t xml:space="preserve">Review of </w:t>
            </w:r>
            <w:r w:rsidR="008515B6">
              <w:rPr>
                <w:i/>
                <w:sz w:val="20"/>
                <w:szCs w:val="20"/>
              </w:rPr>
              <w:t xml:space="preserve">2014 </w:t>
            </w:r>
            <w:r w:rsidRPr="006256B8">
              <w:rPr>
                <w:i/>
                <w:sz w:val="20"/>
                <w:szCs w:val="20"/>
              </w:rPr>
              <w:t>Correctional Act</w:t>
            </w:r>
            <w:r w:rsidR="008515B6">
              <w:rPr>
                <w:i/>
                <w:sz w:val="20"/>
                <w:szCs w:val="20"/>
              </w:rPr>
              <w:t xml:space="preserve"> and 1961 Prison</w:t>
            </w:r>
            <w:r w:rsidRPr="006256B8">
              <w:rPr>
                <w:i/>
                <w:sz w:val="20"/>
                <w:szCs w:val="20"/>
              </w:rPr>
              <w:t xml:space="preserve"> Rules completed</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0BF01A14" w14:textId="7853C8EA" w:rsidR="00E73190" w:rsidRPr="006256B8" w:rsidRDefault="008515B6" w:rsidP="00E73190">
            <w:pPr>
              <w:pStyle w:val="ListParagraph"/>
              <w:ind w:left="0"/>
              <w:rPr>
                <w:sz w:val="20"/>
                <w:szCs w:val="20"/>
              </w:rPr>
            </w:pPr>
            <w:r>
              <w:rPr>
                <w:sz w:val="20"/>
                <w:szCs w:val="20"/>
              </w:rPr>
              <w:t xml:space="preserve">2014 </w:t>
            </w:r>
            <w:r w:rsidR="006256B8" w:rsidRPr="006256B8">
              <w:rPr>
                <w:sz w:val="20"/>
                <w:szCs w:val="20"/>
              </w:rPr>
              <w:t>Correctional Act review</w:t>
            </w:r>
            <w:r>
              <w:rPr>
                <w:sz w:val="20"/>
                <w:szCs w:val="20"/>
              </w:rPr>
              <w:t xml:space="preserve">ed, completed and submitted to MIA for onward action by the AG/MOJ. </w:t>
            </w:r>
          </w:p>
        </w:tc>
        <w:tc>
          <w:tcPr>
            <w:tcW w:w="1260" w:type="dxa"/>
            <w:shd w:val="clear" w:color="auto" w:fill="auto"/>
          </w:tcPr>
          <w:p w14:paraId="15252D83" w14:textId="77777777" w:rsidR="00E73190" w:rsidRPr="006256B8" w:rsidRDefault="006256B8" w:rsidP="00E7319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 target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E4FAF90" w14:textId="77777777" w:rsidR="00E73190" w:rsidRDefault="006256B8" w:rsidP="00E73190">
            <w:pPr>
              <w:pStyle w:val="ListParagraph"/>
              <w:ind w:left="0"/>
              <w:rPr>
                <w:sz w:val="20"/>
                <w:szCs w:val="20"/>
              </w:rPr>
            </w:pPr>
            <w:r>
              <w:rPr>
                <w:sz w:val="20"/>
                <w:szCs w:val="20"/>
              </w:rPr>
              <w:t xml:space="preserve">SLCS narrative report </w:t>
            </w:r>
          </w:p>
          <w:p w14:paraId="620F1142" w14:textId="77777777" w:rsidR="006256B8" w:rsidRDefault="006256B8" w:rsidP="00E73190">
            <w:pPr>
              <w:pStyle w:val="ListParagraph"/>
              <w:ind w:left="0"/>
              <w:rPr>
                <w:sz w:val="20"/>
                <w:szCs w:val="20"/>
              </w:rPr>
            </w:pPr>
          </w:p>
          <w:p w14:paraId="77160B08" w14:textId="322F6895" w:rsidR="006256B8" w:rsidRPr="006256B8" w:rsidRDefault="006256B8" w:rsidP="00E73190">
            <w:pPr>
              <w:pStyle w:val="ListParagraph"/>
              <w:ind w:left="0"/>
              <w:rPr>
                <w:sz w:val="20"/>
                <w:szCs w:val="20"/>
              </w:rPr>
            </w:pPr>
            <w:r>
              <w:rPr>
                <w:sz w:val="20"/>
                <w:szCs w:val="20"/>
              </w:rPr>
              <w:t>Revised Correctional Act</w:t>
            </w:r>
            <w:r w:rsidR="008515B6">
              <w:rPr>
                <w:sz w:val="20"/>
                <w:szCs w:val="20"/>
              </w:rPr>
              <w:t>; revised Prison Rules</w:t>
            </w:r>
            <w:r w:rsidR="00530A1D">
              <w:rPr>
                <w:sz w:val="20"/>
                <w:szCs w:val="20"/>
              </w:rPr>
              <w:t xml:space="preserve"> 2018</w:t>
            </w:r>
          </w:p>
        </w:tc>
      </w:tr>
      <w:tr w:rsidR="00E73190" w14:paraId="2EA9A6CE" w14:textId="77777777" w:rsidTr="00067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tcPr>
          <w:p w14:paraId="059B14F6" w14:textId="77777777" w:rsidR="00E73190" w:rsidRPr="006256B8" w:rsidRDefault="00E73190" w:rsidP="00E73190">
            <w:pPr>
              <w:pStyle w:val="ListParagraph"/>
              <w:ind w:left="0"/>
              <w:rPr>
                <w:rFonts w:cstheme="minorHAnsi"/>
                <w:b w:val="0"/>
                <w:sz w:val="20"/>
                <w:szCs w:val="20"/>
              </w:rPr>
            </w:pPr>
            <w:r w:rsidRPr="006256B8">
              <w:rPr>
                <w:rFonts w:cstheme="minorHAnsi"/>
                <w:b w:val="0"/>
                <w:sz w:val="20"/>
                <w:szCs w:val="20"/>
              </w:rPr>
              <w:lastRenderedPageBreak/>
              <w:t># of Joint town hall meetings held by IPCB/CSOs on critical policing issues in the South and East Regions</w:t>
            </w:r>
          </w:p>
        </w:tc>
        <w:tc>
          <w:tcPr>
            <w:cnfStyle w:val="000010000000" w:firstRow="0" w:lastRow="0" w:firstColumn="0" w:lastColumn="0" w:oddVBand="1" w:evenVBand="0" w:oddHBand="0" w:evenHBand="0" w:firstRowFirstColumn="0" w:firstRowLastColumn="0" w:lastRowFirstColumn="0" w:lastRowLastColumn="0"/>
            <w:tcW w:w="1808" w:type="dxa"/>
            <w:shd w:val="clear" w:color="auto" w:fill="auto"/>
          </w:tcPr>
          <w:p w14:paraId="297FD0E0" w14:textId="77777777" w:rsidR="00E73190" w:rsidRPr="006256B8" w:rsidRDefault="00E73190" w:rsidP="00E73190">
            <w:pPr>
              <w:pStyle w:val="ListParagraph"/>
              <w:ind w:left="0"/>
              <w:rPr>
                <w:rFonts w:cstheme="minorHAnsi"/>
                <w:i/>
                <w:sz w:val="20"/>
                <w:szCs w:val="20"/>
              </w:rPr>
            </w:pPr>
            <w:r w:rsidRPr="006256B8">
              <w:rPr>
                <w:rFonts w:cstheme="minorHAnsi"/>
                <w:i/>
                <w:sz w:val="20"/>
                <w:szCs w:val="20"/>
              </w:rPr>
              <w:t xml:space="preserve">Limited formal engagement </w:t>
            </w:r>
            <w:r w:rsidR="006256B8">
              <w:rPr>
                <w:rFonts w:cstheme="minorHAnsi"/>
                <w:i/>
                <w:sz w:val="20"/>
                <w:szCs w:val="20"/>
              </w:rPr>
              <w:t>B</w:t>
            </w:r>
            <w:r w:rsidRPr="006256B8">
              <w:rPr>
                <w:rFonts w:cstheme="minorHAnsi"/>
                <w:i/>
                <w:sz w:val="20"/>
                <w:szCs w:val="20"/>
              </w:rPr>
              <w:t>etween justice/security sector institutions and CSOs at community levels</w:t>
            </w:r>
          </w:p>
        </w:tc>
        <w:tc>
          <w:tcPr>
            <w:tcW w:w="1612" w:type="dxa"/>
            <w:shd w:val="clear" w:color="auto" w:fill="auto"/>
          </w:tcPr>
          <w:p w14:paraId="277CDAFF" w14:textId="1E539534" w:rsidR="00E73190" w:rsidRPr="006256B8"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256B8">
              <w:rPr>
                <w:rFonts w:cstheme="minorHAnsi"/>
                <w:i/>
                <w:sz w:val="20"/>
                <w:szCs w:val="20"/>
              </w:rPr>
              <w:t>joint IPCB/CSOs Town Hall meetings held on key policing issues</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14:paraId="7BEA3642" w14:textId="5F91C7ED" w:rsidR="00E73190" w:rsidRPr="006256B8" w:rsidRDefault="00E73190" w:rsidP="00E73190">
            <w:pPr>
              <w:pStyle w:val="ListParagraph"/>
              <w:ind w:left="0"/>
              <w:rPr>
                <w:rFonts w:cstheme="minorHAnsi"/>
                <w:sz w:val="20"/>
                <w:szCs w:val="20"/>
              </w:rPr>
            </w:pPr>
            <w:r w:rsidRPr="006256B8">
              <w:rPr>
                <w:rFonts w:cstheme="minorHAnsi"/>
                <w:sz w:val="20"/>
                <w:szCs w:val="20"/>
              </w:rPr>
              <w:t xml:space="preserve">The IPCB with support from CSOs successfully organized joint workshops on policing in </w:t>
            </w:r>
            <w:r w:rsidR="008515B6">
              <w:rPr>
                <w:rFonts w:cstheme="minorHAnsi"/>
                <w:sz w:val="20"/>
                <w:szCs w:val="20"/>
              </w:rPr>
              <w:t>the South, East and North regions reaching out to 464 residents to enhance knowledge on po</w:t>
            </w:r>
            <w:r w:rsidRPr="006256B8">
              <w:rPr>
                <w:rFonts w:cstheme="minorHAnsi"/>
                <w:sz w:val="20"/>
                <w:szCs w:val="20"/>
              </w:rPr>
              <w:t>licing and maintaining human right standards</w:t>
            </w:r>
            <w:r w:rsidR="008515B6">
              <w:rPr>
                <w:rFonts w:cstheme="minorHAnsi"/>
                <w:sz w:val="20"/>
                <w:szCs w:val="20"/>
              </w:rPr>
              <w:t xml:space="preserve"> (295 males-169 females)</w:t>
            </w:r>
          </w:p>
        </w:tc>
        <w:tc>
          <w:tcPr>
            <w:tcW w:w="1260" w:type="dxa"/>
            <w:shd w:val="clear" w:color="auto" w:fill="auto"/>
          </w:tcPr>
          <w:p w14:paraId="63308912" w14:textId="77777777" w:rsidR="00E73190" w:rsidRPr="006256B8" w:rsidRDefault="00E73190" w:rsidP="00E7319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5807648F" w14:textId="36336432" w:rsidR="00E73190" w:rsidRPr="006256B8" w:rsidRDefault="00E73190" w:rsidP="00E73190">
            <w:pPr>
              <w:pStyle w:val="ListParagraph"/>
              <w:ind w:left="0"/>
              <w:rPr>
                <w:rFonts w:cstheme="minorHAnsi"/>
                <w:sz w:val="20"/>
                <w:szCs w:val="20"/>
              </w:rPr>
            </w:pPr>
            <w:r w:rsidRPr="006256B8">
              <w:rPr>
                <w:rFonts w:cstheme="minorHAnsi"/>
                <w:sz w:val="20"/>
                <w:szCs w:val="20"/>
              </w:rPr>
              <w:t>IPCB LOA Report 201</w:t>
            </w:r>
            <w:r w:rsidR="008515B6">
              <w:rPr>
                <w:rFonts w:cstheme="minorHAnsi"/>
                <w:sz w:val="20"/>
                <w:szCs w:val="20"/>
              </w:rPr>
              <w:t>8</w:t>
            </w:r>
          </w:p>
        </w:tc>
      </w:tr>
      <w:tr w:rsidR="00E73190" w14:paraId="3128CE67" w14:textId="77777777" w:rsidTr="0006735A">
        <w:trPr>
          <w:trHeight w:val="547"/>
        </w:trPr>
        <w:tc>
          <w:tcPr>
            <w:cnfStyle w:val="001000000000" w:firstRow="0" w:lastRow="0" w:firstColumn="1" w:lastColumn="0" w:oddVBand="0" w:evenVBand="0" w:oddHBand="0" w:evenHBand="0" w:firstRowFirstColumn="0" w:firstRowLastColumn="0" w:lastRowFirstColumn="0" w:lastRowLastColumn="0"/>
            <w:tcW w:w="9710" w:type="dxa"/>
            <w:gridSpan w:val="6"/>
            <w:shd w:val="clear" w:color="auto" w:fill="EEECE1" w:themeFill="background2"/>
          </w:tcPr>
          <w:p w14:paraId="3D70F30B" w14:textId="77777777" w:rsidR="00E73190" w:rsidRDefault="00E73190" w:rsidP="00E73190">
            <w:pPr>
              <w:pStyle w:val="ListParagraph"/>
              <w:ind w:left="0"/>
            </w:pPr>
            <w:r>
              <w:t xml:space="preserve">Output 4 Effective Project Management </w:t>
            </w:r>
          </w:p>
        </w:tc>
      </w:tr>
    </w:tbl>
    <w:p w14:paraId="0583245B" w14:textId="77777777" w:rsidR="009B1E24" w:rsidRDefault="009B1E24">
      <w:pPr>
        <w:rPr>
          <w:b/>
          <w:bCs/>
          <w:color w:val="17365D" w:themeColor="text2" w:themeShade="BF"/>
          <w:sz w:val="36"/>
          <w:szCs w:val="36"/>
        </w:rPr>
      </w:pPr>
      <w:r>
        <w:br w:type="page"/>
      </w:r>
    </w:p>
    <w:p w14:paraId="13166FDB" w14:textId="77777777" w:rsidR="00200CC8" w:rsidRDefault="00597B82" w:rsidP="009924BE">
      <w:pPr>
        <w:pStyle w:val="Heading1"/>
      </w:pPr>
      <w:bookmarkStart w:id="13" w:name="_Toc503736517"/>
      <w:r>
        <w:lastRenderedPageBreak/>
        <w:t>Results</w:t>
      </w:r>
      <w:bookmarkEnd w:id="11"/>
      <w:bookmarkEnd w:id="13"/>
    </w:p>
    <w:p w14:paraId="5ECDF242" w14:textId="77777777" w:rsidR="00A3718B" w:rsidRDefault="00A3718B" w:rsidP="00200CC8">
      <w:pPr>
        <w:pStyle w:val="ListParagraph"/>
        <w:ind w:left="284"/>
      </w:pPr>
    </w:p>
    <w:p w14:paraId="1DD3B5AE" w14:textId="77777777" w:rsidR="00C8243C" w:rsidRPr="00F13DEF" w:rsidRDefault="00FA7216" w:rsidP="0000211B">
      <w:pPr>
        <w:pStyle w:val="ListParagraph"/>
        <w:shd w:val="clear" w:color="auto" w:fill="FFFFFF" w:themeFill="background1"/>
        <w:ind w:left="0"/>
        <w:rPr>
          <w:b/>
          <w:bCs/>
          <w:sz w:val="32"/>
          <w:szCs w:val="32"/>
          <w:u w:val="single"/>
        </w:rPr>
      </w:pPr>
      <w:r w:rsidRPr="00F13DEF">
        <w:rPr>
          <w:b/>
          <w:bCs/>
          <w:sz w:val="32"/>
          <w:szCs w:val="32"/>
          <w:u w:val="single"/>
        </w:rPr>
        <w:t xml:space="preserve">Section </w:t>
      </w:r>
      <w:r w:rsidR="00F776E6" w:rsidRPr="00F13DEF">
        <w:rPr>
          <w:b/>
          <w:bCs/>
          <w:sz w:val="32"/>
          <w:szCs w:val="32"/>
          <w:u w:val="single"/>
        </w:rPr>
        <w:t>1:</w:t>
      </w:r>
      <w:r w:rsidR="00001EFE">
        <w:rPr>
          <w:b/>
          <w:bCs/>
          <w:sz w:val="32"/>
          <w:szCs w:val="32"/>
          <w:u w:val="single"/>
        </w:rPr>
        <w:t xml:space="preserve"> Overall results achieved</w:t>
      </w:r>
      <w:r w:rsidRPr="00F13DEF">
        <w:rPr>
          <w:b/>
          <w:bCs/>
          <w:sz w:val="32"/>
          <w:szCs w:val="32"/>
          <w:u w:val="single"/>
        </w:rPr>
        <w:t xml:space="preserve"> against the outcome</w:t>
      </w:r>
    </w:p>
    <w:p w14:paraId="35FB7A47" w14:textId="5B8364D9" w:rsidR="0030530F" w:rsidRDefault="001F3C1F" w:rsidP="0030530F">
      <w:pPr>
        <w:jc w:val="both"/>
        <w:rPr>
          <w:rFonts w:cstheme="minorHAnsi"/>
        </w:rPr>
      </w:pPr>
      <w:r>
        <w:rPr>
          <w:rFonts w:cstheme="minorHAnsi"/>
        </w:rPr>
        <w:t xml:space="preserve">In 2018, efforts at strengthening </w:t>
      </w:r>
      <w:r w:rsidR="0030530F">
        <w:rPr>
          <w:rFonts w:cstheme="minorHAnsi"/>
        </w:rPr>
        <w:t xml:space="preserve">M&amp;E capacities </w:t>
      </w:r>
      <w:r>
        <w:rPr>
          <w:rFonts w:cstheme="minorHAnsi"/>
        </w:rPr>
        <w:t xml:space="preserve">for sector institutions resulted in the capacity enhancement for 35 staff drawn from the justice and security sectors. With the ability to collect, analyze and utilize data, personnel trained are now providing much needed information for the planning, implementation and monitoring of interventions within their respective institutions while progressively building the culture of monitoring, reporting and tracking </w:t>
      </w:r>
      <w:r w:rsidR="00C32BBC">
        <w:rPr>
          <w:rFonts w:cstheme="minorHAnsi"/>
        </w:rPr>
        <w:t>results for informed programming. To enhance the institutional capacity of the Ministry of Justice (MOJ) to manage their internal administrative processes, UNDP provided assistance to the mi</w:t>
      </w:r>
      <w:r w:rsidR="0030530F">
        <w:rPr>
          <w:rFonts w:cstheme="minorHAnsi"/>
        </w:rPr>
        <w:t xml:space="preserve">nistry </w:t>
      </w:r>
      <w:r w:rsidR="00C32BBC">
        <w:rPr>
          <w:rFonts w:cstheme="minorHAnsi"/>
        </w:rPr>
        <w:t>to develop an</w:t>
      </w:r>
      <w:r w:rsidR="0030530F">
        <w:rPr>
          <w:rFonts w:cstheme="minorHAnsi"/>
        </w:rPr>
        <w:t xml:space="preserve"> electronic content management system </w:t>
      </w:r>
      <w:r w:rsidR="00C32BBC">
        <w:rPr>
          <w:rFonts w:cstheme="minorHAnsi"/>
        </w:rPr>
        <w:t xml:space="preserve">(CMS) </w:t>
      </w:r>
      <w:r w:rsidR="0030530F">
        <w:rPr>
          <w:rFonts w:cstheme="minorHAnsi"/>
        </w:rPr>
        <w:t xml:space="preserve">which, when completed will </w:t>
      </w:r>
      <w:r w:rsidR="00C32BBC">
        <w:rPr>
          <w:rFonts w:cstheme="minorHAnsi"/>
        </w:rPr>
        <w:t xml:space="preserve">assist the </w:t>
      </w:r>
      <w:r w:rsidR="0030530F">
        <w:rPr>
          <w:rFonts w:cstheme="minorHAnsi"/>
        </w:rPr>
        <w:t xml:space="preserve">senior management of the MOJ to assign tasks to its large personnel, monitor progress on tasks assigned as well as provide oversight, mentoring and coaching to the entire ministry. The usefulness of this tool cannot be overemphasized as it would position itself as a key component of ensuring efficiency of the ministry vis a vis the workload of this institution within the justice chain. The Justice App developed and completed in 2017 is now being progressively rolled out to the provinces and is now functional in 6 Freetown High Court (HC) and Magistrate Court (MC), Makeni HC and MC, Bo MC, </w:t>
      </w:r>
      <w:proofErr w:type="spellStart"/>
      <w:r w:rsidR="0030530F">
        <w:rPr>
          <w:rFonts w:cstheme="minorHAnsi"/>
        </w:rPr>
        <w:t>Lunsar</w:t>
      </w:r>
      <w:proofErr w:type="spellEnd"/>
      <w:r w:rsidR="0030530F">
        <w:rPr>
          <w:rFonts w:cstheme="minorHAnsi"/>
        </w:rPr>
        <w:t xml:space="preserve"> MC, </w:t>
      </w:r>
      <w:proofErr w:type="spellStart"/>
      <w:r w:rsidR="0030530F">
        <w:rPr>
          <w:rFonts w:cstheme="minorHAnsi"/>
        </w:rPr>
        <w:t>Bonthe</w:t>
      </w:r>
      <w:proofErr w:type="spellEnd"/>
      <w:r w:rsidR="0030530F">
        <w:rPr>
          <w:rFonts w:cstheme="minorHAnsi"/>
        </w:rPr>
        <w:t xml:space="preserve"> MC and Kabala MC</w:t>
      </w:r>
      <w:r w:rsidR="0030530F">
        <w:rPr>
          <w:rStyle w:val="FootnoteReference"/>
        </w:rPr>
        <w:t>.</w:t>
      </w:r>
      <w:r w:rsidR="0030530F">
        <w:t xml:space="preserve">. </w:t>
      </w:r>
      <w:r w:rsidR="0030530F">
        <w:rPr>
          <w:rFonts w:cstheme="minorHAnsi"/>
        </w:rPr>
        <w:t xml:space="preserve">While challenges remain in ensuring that this tool plays the central role in delivering justice, the need has been felt to expand the Justice App within the justice chain targeting the Director of Public Prosecutor’s (DPP) Office as well as the Sierra Leone Correctional Service (SLCS) which manages a significant population of inmates across its 19 correctional facilities. </w:t>
      </w:r>
      <w:r w:rsidR="000B7B1C">
        <w:rPr>
          <w:rFonts w:cstheme="minorHAnsi"/>
        </w:rPr>
        <w:t xml:space="preserve">Assessments to get this underway have been completed with the Justice App refined to fit the needs of both institutions. Trainings would be undertaken in 2019 for complete roll out.  </w:t>
      </w:r>
    </w:p>
    <w:p w14:paraId="0B8EC153" w14:textId="00865FF1" w:rsidR="0030530F" w:rsidRPr="00E46379" w:rsidRDefault="000B7B1C" w:rsidP="0030530F">
      <w:pPr>
        <w:jc w:val="both"/>
        <w:rPr>
          <w:rFonts w:cstheme="minorHAnsi"/>
        </w:rPr>
      </w:pPr>
      <w:r>
        <w:rPr>
          <w:rFonts w:cstheme="minorHAnsi"/>
        </w:rPr>
        <w:t>On the legislative framework review, t</w:t>
      </w:r>
      <w:r w:rsidR="0030530F">
        <w:rPr>
          <w:rFonts w:cstheme="minorHAnsi"/>
        </w:rPr>
        <w:t>he project has support</w:t>
      </w:r>
      <w:r>
        <w:rPr>
          <w:rFonts w:cstheme="minorHAnsi"/>
        </w:rPr>
        <w:t>ed</w:t>
      </w:r>
      <w:r w:rsidR="0030530F">
        <w:rPr>
          <w:rFonts w:cstheme="minorHAnsi"/>
        </w:rPr>
        <w:t xml:space="preserve"> key institutions </w:t>
      </w:r>
      <w:r w:rsidR="005E01DD">
        <w:rPr>
          <w:rFonts w:cstheme="minorHAnsi"/>
        </w:rPr>
        <w:t xml:space="preserve">to </w:t>
      </w:r>
      <w:r w:rsidR="0030530F">
        <w:rPr>
          <w:rFonts w:cstheme="minorHAnsi"/>
        </w:rPr>
        <w:t xml:space="preserve">review existing legislation and develop regulations </w:t>
      </w:r>
      <w:r w:rsidR="00E561C3">
        <w:rPr>
          <w:rFonts w:cstheme="minorHAnsi"/>
        </w:rPr>
        <w:t xml:space="preserve">to </w:t>
      </w:r>
      <w:r w:rsidR="0030530F">
        <w:rPr>
          <w:rFonts w:cstheme="minorHAnsi"/>
        </w:rPr>
        <w:t>improve o</w:t>
      </w:r>
      <w:r w:rsidR="00E561C3">
        <w:rPr>
          <w:rFonts w:cstheme="minorHAnsi"/>
        </w:rPr>
        <w:t>n</w:t>
      </w:r>
      <w:r w:rsidR="0030530F">
        <w:rPr>
          <w:rFonts w:cstheme="minorHAnsi"/>
        </w:rPr>
        <w:t xml:space="preserve"> procedur</w:t>
      </w:r>
      <w:r w:rsidR="00E561C3">
        <w:rPr>
          <w:rFonts w:cstheme="minorHAnsi"/>
        </w:rPr>
        <w:t>e on bail</w:t>
      </w:r>
      <w:r w:rsidR="0030530F">
        <w:rPr>
          <w:rFonts w:cstheme="minorHAnsi"/>
        </w:rPr>
        <w:t>. The project has concluded the revision of the SLCS Correctional Act of 2014 together with the Prison Rules of 1961. The revised Criminal Procedure Act has unfortunately not been passed but is receiving attention from the new government and UNDP will continue to support its journey towards enactment in 2019. The Bail Regulations finalized in 2017 are now progressively being rolled out with additional capacity development for justice sector partners undertaken.</w:t>
      </w:r>
      <w:r w:rsidR="0030530F" w:rsidRPr="00E46379">
        <w:rPr>
          <w:rFonts w:cstheme="minorHAnsi"/>
        </w:rPr>
        <w:t xml:space="preserve"> </w:t>
      </w:r>
      <w:r w:rsidR="0030530F">
        <w:rPr>
          <w:rFonts w:cstheme="minorHAnsi"/>
        </w:rPr>
        <w:t xml:space="preserve">To ensure that the dispensation of legal aid services is synchronized and harmonized, UNDP with support to the Justice Sector Coordination Office (JSCO) in collaboration with the Judiciary, the Legal Aid Board (LAB) and other sector partners </w:t>
      </w:r>
      <w:r w:rsidR="00E561C3">
        <w:rPr>
          <w:rFonts w:cstheme="minorHAnsi"/>
        </w:rPr>
        <w:t xml:space="preserve">have </w:t>
      </w:r>
      <w:r w:rsidR="0030530F">
        <w:rPr>
          <w:rFonts w:cstheme="minorHAnsi"/>
        </w:rPr>
        <w:t>develop</w:t>
      </w:r>
      <w:r w:rsidR="00E561C3">
        <w:rPr>
          <w:rFonts w:cstheme="minorHAnsi"/>
        </w:rPr>
        <w:t>ed</w:t>
      </w:r>
      <w:r w:rsidR="0030530F">
        <w:rPr>
          <w:rFonts w:cstheme="minorHAnsi"/>
        </w:rPr>
        <w:t xml:space="preserve"> a curriculum to be introduced at the higher level in institutions of learning. These efforts would ensure a uniform approach to the development of the capacities of paralegals in the sector and their certification.  </w:t>
      </w:r>
    </w:p>
    <w:p w14:paraId="7E9B4439" w14:textId="59071B5C" w:rsidR="0030530F" w:rsidRPr="00E46379" w:rsidRDefault="0030530F" w:rsidP="0030530F">
      <w:pPr>
        <w:jc w:val="both"/>
        <w:rPr>
          <w:rFonts w:cstheme="minorHAnsi"/>
        </w:rPr>
      </w:pPr>
      <w:r>
        <w:rPr>
          <w:rFonts w:cstheme="minorHAnsi"/>
        </w:rPr>
        <w:t xml:space="preserve">Specifically, under the “From Prisons to Corrections” project, </w:t>
      </w:r>
      <w:r w:rsidRPr="00E46379">
        <w:rPr>
          <w:rFonts w:cstheme="minorHAnsi"/>
        </w:rPr>
        <w:t>U</w:t>
      </w:r>
      <w:r>
        <w:rPr>
          <w:rFonts w:cstheme="minorHAnsi"/>
        </w:rPr>
        <w:t xml:space="preserve">NDP’s efforts </w:t>
      </w:r>
      <w:r w:rsidR="00E561C3">
        <w:rPr>
          <w:rFonts w:cstheme="minorHAnsi"/>
        </w:rPr>
        <w:t xml:space="preserve">contributed to the </w:t>
      </w:r>
      <w:r>
        <w:rPr>
          <w:rFonts w:cstheme="minorHAnsi"/>
        </w:rPr>
        <w:t>improv</w:t>
      </w:r>
      <w:r w:rsidR="00E561C3">
        <w:rPr>
          <w:rFonts w:cstheme="minorHAnsi"/>
        </w:rPr>
        <w:t>ement of</w:t>
      </w:r>
      <w:r>
        <w:rPr>
          <w:rFonts w:cstheme="minorHAnsi"/>
        </w:rPr>
        <w:t xml:space="preserve"> conditions of detention of inmates and strengthening staff capacities to deliver on a professional and ethical manner</w:t>
      </w:r>
      <w:r w:rsidR="00E561C3">
        <w:rPr>
          <w:rFonts w:cstheme="minorHAnsi"/>
        </w:rPr>
        <w:t xml:space="preserve"> with the introduction of human rights audit exercises to review the practices at correctional centres to conform with the Mandela Rules and other standard instruments of </w:t>
      </w:r>
      <w:r w:rsidR="00E561C3">
        <w:rPr>
          <w:rFonts w:cstheme="minorHAnsi"/>
        </w:rPr>
        <w:lastRenderedPageBreak/>
        <w:t>treatment of detainees</w:t>
      </w:r>
      <w:r>
        <w:rPr>
          <w:rFonts w:cstheme="minorHAnsi"/>
        </w:rPr>
        <w:t xml:space="preserve">. Throughout the year, the project has developed the capacities of 30 social workers and councilors to provide counselling services to inmates in need of support. To strengthen the viability of the SLCS, the project has enhanced their entrepreneurship skills with the development of marketing and communications strategies and </w:t>
      </w:r>
      <w:r>
        <w:t xml:space="preserve">73 SLCS Officers have been trained </w:t>
      </w:r>
      <w:r w:rsidR="000F3DBE">
        <w:t xml:space="preserve">and are now contributing </w:t>
      </w:r>
      <w:r>
        <w:t xml:space="preserve">to </w:t>
      </w:r>
      <w:r w:rsidR="000F3DBE">
        <w:t xml:space="preserve">the </w:t>
      </w:r>
      <w:r>
        <w:t>effective manage</w:t>
      </w:r>
      <w:r w:rsidR="000F3DBE">
        <w:t>ment of</w:t>
      </w:r>
      <w:r>
        <w:t xml:space="preserve"> the Industries Programme and </w:t>
      </w:r>
      <w:r w:rsidR="000F3DBE">
        <w:t xml:space="preserve">are </w:t>
      </w:r>
      <w:r>
        <w:t xml:space="preserve">also </w:t>
      </w:r>
      <w:r w:rsidR="000F3DBE">
        <w:t xml:space="preserve">supporting </w:t>
      </w:r>
      <w:r>
        <w:t>continu</w:t>
      </w:r>
      <w:r w:rsidR="000F3DBE">
        <w:t xml:space="preserve">ous </w:t>
      </w:r>
      <w:r>
        <w:t>training of inmates</w:t>
      </w:r>
      <w:r>
        <w:rPr>
          <w:rFonts w:cstheme="minorHAnsi"/>
        </w:rPr>
        <w:t xml:space="preserve"> that are now being utilized to progressively position the institution in a vantage position for self-sufficiency in relation to the provision of furniture and other needed services for the SLCS</w:t>
      </w:r>
      <w:r w:rsidRPr="00E46379">
        <w:rPr>
          <w:rFonts w:cstheme="minorHAnsi"/>
        </w:rPr>
        <w:t>.</w:t>
      </w:r>
      <w:r>
        <w:rPr>
          <w:rFonts w:cstheme="minorHAnsi"/>
        </w:rPr>
        <w:t xml:space="preserve"> </w:t>
      </w:r>
      <w:r w:rsidRPr="00E46379">
        <w:rPr>
          <w:rFonts w:cstheme="minorHAnsi"/>
        </w:rPr>
        <w:t xml:space="preserve"> </w:t>
      </w:r>
    </w:p>
    <w:p w14:paraId="25952BF4" w14:textId="319ECFD7" w:rsidR="0030530F" w:rsidRPr="00E46379" w:rsidRDefault="0030530F" w:rsidP="0030530F">
      <w:pPr>
        <w:spacing w:after="160" w:line="259" w:lineRule="auto"/>
        <w:jc w:val="both"/>
        <w:rPr>
          <w:rFonts w:cstheme="minorHAnsi"/>
        </w:rPr>
      </w:pPr>
      <w:r>
        <w:t xml:space="preserve">The completed Accommodation Master Plan has been presented to the new Ministry of Internal Affairs in 2018. The Master Plan contains vital information on the actual capacity with concrete suggestions on optimizing the capacity of these facilities nationwide. The Accommodation Master Plan was the key document utilized by the SLCS to guide the rehabilitation done across the 8 selected facilities. </w:t>
      </w:r>
      <w:r w:rsidR="000F3DBE">
        <w:t xml:space="preserve">The SLCS has now utilized the Plan to develop a proposal for government funding of the institution. </w:t>
      </w:r>
      <w:r>
        <w:rPr>
          <w:rFonts w:cstheme="minorHAnsi"/>
        </w:rPr>
        <w:t xml:space="preserve">To improve on the conditions of detention of inmates, the SLCS together with UNDP embarked on the refurbishment of selected detention facilities in dire need of support. Eight (8) facilities were selected with support provided to improve on the water and sanitation. Within this support, 9 water towers and washrooms, septic tanks and soak-away were erected. The support contributed to the improved supply of water in the selected facilities. These improvements have benefited over 1,500 inmates across the 8 facilities and contributed to reduce the recurrent outbreaks of communicable diseases in these mostly overcrowded centres. The refurbished facilities </w:t>
      </w:r>
      <w:r w:rsidR="000F3DBE">
        <w:rPr>
          <w:rFonts w:cstheme="minorHAnsi"/>
        </w:rPr>
        <w:t xml:space="preserve">are now </w:t>
      </w:r>
      <w:r>
        <w:rPr>
          <w:rFonts w:cstheme="minorHAnsi"/>
        </w:rPr>
        <w:t>contribut</w:t>
      </w:r>
      <w:r w:rsidR="000F3DBE">
        <w:rPr>
          <w:rFonts w:cstheme="minorHAnsi"/>
        </w:rPr>
        <w:t>ing</w:t>
      </w:r>
      <w:r>
        <w:rPr>
          <w:rFonts w:cstheme="minorHAnsi"/>
        </w:rPr>
        <w:t xml:space="preserve"> to the decongestion of overcrowded facilities with at least 450 inmates to be relocated to newly refurbished centres. There is more to be done in relation to sanitation in the SLCS facilities and UNDP’s support will continue in this regard in the coming years. </w:t>
      </w:r>
      <w:r w:rsidRPr="00E46379">
        <w:rPr>
          <w:rFonts w:cstheme="minorHAnsi"/>
        </w:rPr>
        <w:t xml:space="preserve"> </w:t>
      </w:r>
    </w:p>
    <w:p w14:paraId="66C4032F" w14:textId="77777777" w:rsidR="0030530F" w:rsidRDefault="0030530F" w:rsidP="0030530F">
      <w:pPr>
        <w:spacing w:after="160" w:line="259" w:lineRule="auto"/>
        <w:jc w:val="both"/>
        <w:rPr>
          <w:rFonts w:cstheme="minorHAnsi"/>
        </w:rPr>
      </w:pPr>
      <w:r w:rsidRPr="00E46379">
        <w:rPr>
          <w:rFonts w:cstheme="minorHAnsi"/>
        </w:rPr>
        <w:t>T</w:t>
      </w:r>
      <w:r>
        <w:rPr>
          <w:rFonts w:cstheme="minorHAnsi"/>
        </w:rPr>
        <w:t xml:space="preserve">o ensure that the SLCS complies with standard procedures in the treatment of inmates that responds to addressing their behavioural and criminogenic needs, the SLCS with support from UNDP has developed tools for the assessment and classification of detainees. The inception trainings were conducted for 10 selected staff. With progressive roll-out of this component earmarked for 2019, the successful completion will ensure that inmates are placed within facilities that will help them to recover from their criminogenic approach to life as well as contribute to their successful reintegration to society after serving their custodial sentence. </w:t>
      </w:r>
    </w:p>
    <w:p w14:paraId="08BB1039" w14:textId="7C9A8465" w:rsidR="0030530F" w:rsidRDefault="0030530F" w:rsidP="0030530F">
      <w:pPr>
        <w:spacing w:after="160" w:line="240" w:lineRule="auto"/>
        <w:jc w:val="both"/>
      </w:pPr>
      <w:r>
        <w:t xml:space="preserve">The establishment of the Prison Courts by the Judiciary to review pre-trial and remand population cases and decongest the Correctional facilities has so far contributed to the review of 1,100 cases across the country. The exercise has resulted in the preferment of over 425 indictments by the Law Officers Department (LOD) and releases of 100 inmates detained without evidence. In addition to this the Prison Watch has contributed to the release and reintegration of 166 inmates to reintegrate back to society. </w:t>
      </w:r>
      <w:r w:rsidR="000F3DBE">
        <w:t xml:space="preserve">Together with support from other stakeholders, the SLCS has witnessed a reduction in the pre-trial </w:t>
      </w:r>
      <w:r w:rsidR="00BB00BA">
        <w:t xml:space="preserve">and remand population </w:t>
      </w:r>
      <w:r w:rsidR="000F3DBE">
        <w:t>from 5</w:t>
      </w:r>
      <w:r w:rsidR="00BB00BA">
        <w:t>3</w:t>
      </w:r>
      <w:r w:rsidR="000F3DBE">
        <w:t>% in 2017 to about 43-45% in 2018</w:t>
      </w:r>
      <w:r w:rsidR="00BB00BA">
        <w:t xml:space="preserve">. </w:t>
      </w:r>
    </w:p>
    <w:p w14:paraId="0B6A0EA3" w14:textId="1E9B7989" w:rsidR="0030530F" w:rsidRDefault="0030530F" w:rsidP="0030530F">
      <w:pPr>
        <w:spacing w:after="160" w:line="259" w:lineRule="auto"/>
        <w:jc w:val="both"/>
      </w:pPr>
      <w:r>
        <w:t>To ensure released inmates contribute to the development of their communities, the SLCS with support from UNDP has initiated and piloted an Earning Scheme building on correctional industries trainings undertaken in Colorado, USA and South-South visit by the SLCS management and staff to the Kenya Prison facility. So far, 246 sentenced inmates (21 female and 225 male)</w:t>
      </w:r>
      <w:r w:rsidR="00BB00BA">
        <w:t xml:space="preserve"> have benefitted from the Scheme</w:t>
      </w:r>
      <w:r>
        <w:t xml:space="preserve"> and 73 </w:t>
      </w:r>
      <w:r>
        <w:lastRenderedPageBreak/>
        <w:t>SLCS Officers have been trained to effectively manage the Industries Programme and provide training and mentoring of inmates.</w:t>
      </w:r>
    </w:p>
    <w:p w14:paraId="7EC031F7" w14:textId="34984ACB" w:rsidR="0030530F" w:rsidRDefault="0030530F" w:rsidP="0030530F">
      <w:pPr>
        <w:spacing w:after="160" w:line="259" w:lineRule="auto"/>
        <w:jc w:val="both"/>
        <w:rPr>
          <w:rFonts w:cstheme="minorHAnsi"/>
        </w:rPr>
      </w:pPr>
      <w:r>
        <w:rPr>
          <w:rFonts w:cstheme="minorHAnsi"/>
        </w:rPr>
        <w:t>After the development of the Human Rights Action Plan in 2017 for all 19 facilities and pilot human right audits implemented of key institutions, the S</w:t>
      </w:r>
      <w:r w:rsidRPr="00E46379">
        <w:rPr>
          <w:rFonts w:cstheme="minorHAnsi"/>
        </w:rPr>
        <w:t xml:space="preserve">LCS </w:t>
      </w:r>
      <w:r>
        <w:rPr>
          <w:rFonts w:cstheme="minorHAnsi"/>
        </w:rPr>
        <w:t xml:space="preserve">has now strengthened the capacity of its M&amp;E unit to expand the audit </w:t>
      </w:r>
      <w:r w:rsidR="00BB00BA">
        <w:rPr>
          <w:rFonts w:cstheme="minorHAnsi"/>
        </w:rPr>
        <w:t>t</w:t>
      </w:r>
      <w:r>
        <w:rPr>
          <w:rFonts w:cstheme="minorHAnsi"/>
        </w:rPr>
        <w:t xml:space="preserve">o other facilities. The audits were conducted based on the UN Standard Minimum Rules for the Treatment of Prisoners (Mandela Rules) and the United Nations Rules for the Treatment of Women Prisoners and Non-custodial Measures for Women Offenders (‘the Bangkok Rules) that set out the minimum standards for the treatment of inmates in detention. Six (6) facilities were audited in 2018 by the M&amp;E team. Progress across correctional facilities included but were not limited to improvement in files/records management, separation of categories </w:t>
      </w:r>
      <w:r w:rsidR="00BB00BA">
        <w:rPr>
          <w:rFonts w:cstheme="minorHAnsi"/>
        </w:rPr>
        <w:t xml:space="preserve">of detainees </w:t>
      </w:r>
      <w:r>
        <w:rPr>
          <w:rFonts w:cstheme="minorHAnsi"/>
        </w:rPr>
        <w:t xml:space="preserve">(in facilities where possible), access to clean water and sanitation, improvement in diet, ‘contact with the outside world’ (access to newspaper, radio and tv, phone calls and visitation rights for children implemented). In furtherance, the SLCS has made impressive progress in some facilities (Mafanta and Moyamba) to build on the industries master plan with a specific focus on agriculture which shows real potential in the SLCS in becoming self-reliant if the institution would continue to receive the requisite political and financial support to grow the industries programme. However, there is need for the SLCS senior management to further strengthen implementation and focus on interventions that do not require any </w:t>
      </w:r>
      <w:r w:rsidR="00BB00BA">
        <w:rPr>
          <w:rFonts w:cstheme="minorHAnsi"/>
        </w:rPr>
        <w:t xml:space="preserve">or minimal </w:t>
      </w:r>
      <w:r>
        <w:rPr>
          <w:rFonts w:cstheme="minorHAnsi"/>
        </w:rPr>
        <w:t xml:space="preserve">financial support from the SLCS to implement. </w:t>
      </w:r>
    </w:p>
    <w:p w14:paraId="2E49DE1F" w14:textId="5204D880" w:rsidR="0030530F" w:rsidRDefault="0030530F" w:rsidP="0030530F">
      <w:pPr>
        <w:spacing w:after="0" w:line="240" w:lineRule="auto"/>
        <w:jc w:val="both"/>
      </w:pPr>
      <w:r w:rsidRPr="00E46379">
        <w:rPr>
          <w:rFonts w:cstheme="minorHAnsi"/>
        </w:rPr>
        <w:t>T</w:t>
      </w:r>
      <w:r>
        <w:rPr>
          <w:rFonts w:cstheme="minorHAnsi"/>
        </w:rPr>
        <w:t xml:space="preserve">o strengthen people and communities’ access to justice, the </w:t>
      </w:r>
      <w:r w:rsidRPr="00E46379">
        <w:rPr>
          <w:rFonts w:cstheme="minorHAnsi"/>
        </w:rPr>
        <w:t xml:space="preserve">Human Rights Commission (HRC) </w:t>
      </w:r>
      <w:r>
        <w:rPr>
          <w:rFonts w:cstheme="minorHAnsi"/>
        </w:rPr>
        <w:t>has continued through its</w:t>
      </w:r>
      <w:r w:rsidRPr="00E46379">
        <w:rPr>
          <w:rFonts w:cstheme="minorHAnsi"/>
        </w:rPr>
        <w:t xml:space="preserve"> innovative approach </w:t>
      </w:r>
      <w:r>
        <w:rPr>
          <w:rFonts w:cstheme="minorHAnsi"/>
        </w:rPr>
        <w:t xml:space="preserve">to receive complaints across 2 districts utilizing </w:t>
      </w:r>
      <w:r w:rsidRPr="00E46379">
        <w:rPr>
          <w:rFonts w:cstheme="minorHAnsi"/>
        </w:rPr>
        <w:t>mobile clinics</w:t>
      </w:r>
      <w:r>
        <w:rPr>
          <w:rFonts w:cstheme="minorHAnsi"/>
        </w:rPr>
        <w:t xml:space="preserve">. This approach has resulted in the receipt of 24 complaints (from 14 males and 10 females). To deepen the culture of human right practice and awareness, the Commission embarked on setting up human right peace clubs (HRPCs) across learning institutions. </w:t>
      </w:r>
      <w:r w:rsidRPr="003C3272">
        <w:t xml:space="preserve">A total of 17 Human Rights and Peace Clubs (HRPCs) were set up and launched in 17 secondary schools in </w:t>
      </w:r>
      <w:r>
        <w:t>3</w:t>
      </w:r>
      <w:r w:rsidRPr="003C3272">
        <w:t xml:space="preserve"> districts</w:t>
      </w:r>
      <w:r>
        <w:t xml:space="preserve"> with eleven</w:t>
      </w:r>
      <w:r w:rsidRPr="003C3272">
        <w:t xml:space="preserve"> (11) </w:t>
      </w:r>
      <w:r>
        <w:t xml:space="preserve">clubs in the </w:t>
      </w:r>
      <w:r w:rsidRPr="003C3272">
        <w:t>Western Area and</w:t>
      </w:r>
      <w:r>
        <w:t xml:space="preserve"> six</w:t>
      </w:r>
      <w:r w:rsidRPr="003C3272">
        <w:t xml:space="preserve"> (6) </w:t>
      </w:r>
      <w:r>
        <w:t xml:space="preserve">in </w:t>
      </w:r>
      <w:r w:rsidRPr="003C3272">
        <w:t>Makeni</w:t>
      </w:r>
      <w:r>
        <w:t xml:space="preserve"> and </w:t>
      </w:r>
      <w:r w:rsidRPr="003C3272">
        <w:t>Bombali District</w:t>
      </w:r>
      <w:r>
        <w:t>s</w:t>
      </w:r>
      <w:r w:rsidRPr="003C3272">
        <w:t xml:space="preserve"> in the North</w:t>
      </w:r>
      <w:r>
        <w:t>. Guidelines were d</w:t>
      </w:r>
      <w:r w:rsidRPr="003C3272">
        <w:t>eveloped</w:t>
      </w:r>
      <w:r>
        <w:t xml:space="preserve"> to support the operation of the </w:t>
      </w:r>
      <w:r w:rsidRPr="003C3272">
        <w:t>HRPCs</w:t>
      </w:r>
      <w:r>
        <w:t>. These clubs are now identify</w:t>
      </w:r>
      <w:r w:rsidR="00BB00BA">
        <w:t>ing</w:t>
      </w:r>
      <w:r>
        <w:t xml:space="preserve"> issues around human rights and channel</w:t>
      </w:r>
      <w:r w:rsidR="00BB00BA">
        <w:t>ing</w:t>
      </w:r>
      <w:r>
        <w:t xml:space="preserve"> them to authorities for redress making use of the 75 pupils and teachers capacitated with basic human rights principles and practice. </w:t>
      </w:r>
    </w:p>
    <w:p w14:paraId="62DB1BCF" w14:textId="77777777" w:rsidR="0030530F" w:rsidRDefault="0030530F" w:rsidP="0030530F">
      <w:pPr>
        <w:spacing w:after="0" w:line="240" w:lineRule="auto"/>
        <w:jc w:val="both"/>
      </w:pPr>
    </w:p>
    <w:p w14:paraId="0AC6B828" w14:textId="77777777" w:rsidR="0030530F" w:rsidRDefault="0030530F" w:rsidP="0030530F">
      <w:pPr>
        <w:spacing w:after="0" w:line="240" w:lineRule="auto"/>
        <w:jc w:val="both"/>
        <w:rPr>
          <w:rFonts w:cstheme="minorHAnsi"/>
        </w:rPr>
      </w:pPr>
      <w:r>
        <w:rPr>
          <w:rFonts w:cstheme="minorHAnsi"/>
        </w:rPr>
        <w:t xml:space="preserve">While it has remained a challenge for action to be taken by the Commission on cases received with limited follow up after investigations, the approach to mobile complaints filing has contributed to increasing people and communities’ hope for action in relation to violations suffered.   </w:t>
      </w:r>
    </w:p>
    <w:p w14:paraId="049395DA" w14:textId="77777777" w:rsidR="0030530F" w:rsidRDefault="0030530F" w:rsidP="0030530F">
      <w:pPr>
        <w:spacing w:after="0" w:line="240" w:lineRule="auto"/>
        <w:jc w:val="both"/>
        <w:rPr>
          <w:rFonts w:cstheme="minorHAnsi"/>
        </w:rPr>
      </w:pPr>
    </w:p>
    <w:p w14:paraId="3686A962" w14:textId="119FFDAE" w:rsidR="007B29E3" w:rsidRDefault="0030530F" w:rsidP="0030530F">
      <w:pPr>
        <w:jc w:val="both"/>
        <w:rPr>
          <w:rFonts w:cstheme="minorHAnsi"/>
        </w:rPr>
      </w:pPr>
      <w:r>
        <w:t xml:space="preserve">The IPCB has enhanced the capacity of its staff from the HQ and regional offices on evidence preservation and basic handling of matters this has now enabled the speedy investigation and conclusion of 5 cases which have been channeled to the DPP’s Office for advice. To ensure enhanced collaboration with civil society, the IPCB with support from CSOs strengthened its outreach to communities with 3 workshops organized across 3 regional headquarter towns. The sessions facilitated interface between the IPCB and communities and deepened working ties. </w:t>
      </w:r>
    </w:p>
    <w:p w14:paraId="38136496" w14:textId="2D1BDFB8" w:rsidR="00F13DEF" w:rsidRDefault="00F13DEF" w:rsidP="00BB00BA">
      <w:pPr>
        <w:rPr>
          <w:rFonts w:cstheme="minorHAnsi"/>
        </w:rPr>
      </w:pPr>
    </w:p>
    <w:p w14:paraId="216256CF" w14:textId="77777777" w:rsidR="00BB00BA" w:rsidRDefault="00BB00BA" w:rsidP="00BB00BA"/>
    <w:p w14:paraId="5B0694D9" w14:textId="77777777" w:rsidR="00597B82" w:rsidRPr="00F13DEF" w:rsidRDefault="00A3718B" w:rsidP="0000211B">
      <w:pPr>
        <w:pStyle w:val="ListParagraph"/>
        <w:shd w:val="clear" w:color="auto" w:fill="FFFFFF" w:themeFill="background1"/>
        <w:ind w:left="0"/>
        <w:rPr>
          <w:b/>
          <w:bCs/>
          <w:sz w:val="32"/>
          <w:szCs w:val="32"/>
          <w:u w:val="single"/>
        </w:rPr>
      </w:pPr>
      <w:r w:rsidRPr="00F13DEF">
        <w:rPr>
          <w:b/>
          <w:bCs/>
          <w:sz w:val="32"/>
          <w:szCs w:val="32"/>
          <w:u w:val="single"/>
        </w:rPr>
        <w:lastRenderedPageBreak/>
        <w:t>Se</w:t>
      </w:r>
      <w:r w:rsidR="00001EFE">
        <w:rPr>
          <w:b/>
          <w:bCs/>
          <w:sz w:val="32"/>
          <w:szCs w:val="32"/>
          <w:u w:val="single"/>
        </w:rPr>
        <w:t xml:space="preserve">ction </w:t>
      </w:r>
      <w:r w:rsidR="00F776E6">
        <w:rPr>
          <w:b/>
          <w:bCs/>
          <w:sz w:val="32"/>
          <w:szCs w:val="32"/>
          <w:u w:val="single"/>
        </w:rPr>
        <w:t>2:</w:t>
      </w:r>
      <w:r w:rsidR="00BA7772">
        <w:rPr>
          <w:b/>
          <w:bCs/>
          <w:sz w:val="32"/>
          <w:szCs w:val="32"/>
          <w:u w:val="single"/>
        </w:rPr>
        <w:t xml:space="preserve"> R</w:t>
      </w:r>
      <w:r w:rsidR="00001EFE">
        <w:rPr>
          <w:b/>
          <w:bCs/>
          <w:sz w:val="32"/>
          <w:szCs w:val="32"/>
          <w:u w:val="single"/>
        </w:rPr>
        <w:t>esults achieved</w:t>
      </w:r>
      <w:r w:rsidR="007A34A3" w:rsidRPr="00F13DEF">
        <w:rPr>
          <w:b/>
          <w:bCs/>
          <w:sz w:val="32"/>
          <w:szCs w:val="32"/>
          <w:u w:val="single"/>
        </w:rPr>
        <w:t xml:space="preserve"> against </w:t>
      </w:r>
      <w:r w:rsidR="00FA7216" w:rsidRPr="00F13DEF">
        <w:rPr>
          <w:b/>
          <w:bCs/>
          <w:sz w:val="32"/>
          <w:szCs w:val="32"/>
          <w:u w:val="single"/>
        </w:rPr>
        <w:t>Output</w:t>
      </w:r>
      <w:r w:rsidR="007A34A3" w:rsidRPr="00F13DEF">
        <w:rPr>
          <w:b/>
          <w:bCs/>
          <w:sz w:val="32"/>
          <w:szCs w:val="32"/>
          <w:u w:val="single"/>
        </w:rPr>
        <w:t>s</w:t>
      </w:r>
    </w:p>
    <w:p w14:paraId="2689382D" w14:textId="77777777" w:rsidR="004414BC" w:rsidRPr="004414BC" w:rsidRDefault="004414BC" w:rsidP="004414BC">
      <w:pPr>
        <w:sectPr w:rsidR="004414BC" w:rsidRPr="004414BC" w:rsidSect="007C66D5">
          <w:pgSz w:w="12240" w:h="15840"/>
          <w:pgMar w:top="1440" w:right="1440" w:bottom="426" w:left="1440" w:header="720" w:footer="720" w:gutter="0"/>
          <w:cols w:space="720"/>
          <w:docGrid w:linePitch="360"/>
        </w:sectPr>
      </w:pPr>
      <w:bookmarkStart w:id="14" w:name="_Toc401569390"/>
      <w:r w:rsidRPr="004414BC">
        <w:t xml:space="preserve">See </w:t>
      </w:r>
      <w:r>
        <w:t>section II</w:t>
      </w:r>
      <w:r w:rsidR="00BB7D36">
        <w:t>I</w:t>
      </w:r>
      <w:r>
        <w:t>, results against outputs</w:t>
      </w:r>
      <w:r w:rsidR="00BB7D36">
        <w:t xml:space="preserve"> – achieved target</w:t>
      </w:r>
      <w:r>
        <w:t xml:space="preserve">. </w:t>
      </w:r>
    </w:p>
    <w:p w14:paraId="793CED09" w14:textId="77777777" w:rsidR="007146B9" w:rsidRDefault="00F776E6" w:rsidP="009924BE">
      <w:pPr>
        <w:pStyle w:val="Heading1"/>
      </w:pPr>
      <w:bookmarkStart w:id="15" w:name="_Toc503736518"/>
      <w:bookmarkEnd w:id="14"/>
      <w:r>
        <w:lastRenderedPageBreak/>
        <w:t>RISKS AND ISSUES</w:t>
      </w:r>
      <w:bookmarkEnd w:id="15"/>
    </w:p>
    <w:p w14:paraId="315E788B" w14:textId="77777777" w:rsidR="009D129C" w:rsidRPr="00800E6D" w:rsidRDefault="009D129C" w:rsidP="009D129C">
      <w:pPr>
        <w:jc w:val="center"/>
        <w:rPr>
          <w:b/>
          <w:bCs/>
          <w:sz w:val="28"/>
          <w:szCs w:val="28"/>
        </w:rPr>
      </w:pPr>
      <w:r w:rsidRPr="00800E6D">
        <w:rPr>
          <w:b/>
          <w:bCs/>
          <w:sz w:val="28"/>
          <w:szCs w:val="28"/>
        </w:rPr>
        <w:t>Project Risk and Issue Log</w:t>
      </w:r>
    </w:p>
    <w:tbl>
      <w:tblPr>
        <w:tblW w:w="138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5134"/>
        <w:gridCol w:w="1808"/>
        <w:gridCol w:w="2553"/>
        <w:gridCol w:w="2409"/>
        <w:gridCol w:w="1600"/>
      </w:tblGrid>
      <w:tr w:rsidR="009D129C" w:rsidRPr="00A44EC7" w14:paraId="6CC4EF4E" w14:textId="77777777" w:rsidTr="00BE5DE4">
        <w:tc>
          <w:tcPr>
            <w:tcW w:w="368" w:type="dxa"/>
            <w:shd w:val="clear" w:color="auto" w:fill="FABF8F" w:themeFill="accent6" w:themeFillTint="99"/>
          </w:tcPr>
          <w:p w14:paraId="10433328" w14:textId="77777777" w:rsidR="009D129C" w:rsidRPr="00A44EC7" w:rsidRDefault="009D129C" w:rsidP="00BE5DE4">
            <w:pPr>
              <w:rPr>
                <w:rFonts w:cs="Arial"/>
                <w:b/>
                <w:sz w:val="24"/>
              </w:rPr>
            </w:pPr>
            <w:r w:rsidRPr="00A44EC7">
              <w:rPr>
                <w:rFonts w:cs="Arial"/>
                <w:b/>
                <w:sz w:val="24"/>
              </w:rPr>
              <w:t>#</w:t>
            </w:r>
          </w:p>
        </w:tc>
        <w:tc>
          <w:tcPr>
            <w:tcW w:w="5134" w:type="dxa"/>
            <w:shd w:val="clear" w:color="auto" w:fill="FABF8F" w:themeFill="accent6" w:themeFillTint="99"/>
          </w:tcPr>
          <w:p w14:paraId="7D0E4405" w14:textId="77777777" w:rsidR="009D129C" w:rsidRPr="001D0F8F" w:rsidRDefault="009D129C" w:rsidP="00BE5DE4">
            <w:pPr>
              <w:rPr>
                <w:rFonts w:cs="Arial"/>
                <w:b/>
                <w:szCs w:val="20"/>
              </w:rPr>
            </w:pPr>
            <w:r w:rsidRPr="001D0F8F">
              <w:rPr>
                <w:rFonts w:cs="Arial"/>
                <w:b/>
                <w:szCs w:val="20"/>
              </w:rPr>
              <w:t>Description</w:t>
            </w:r>
            <w:r>
              <w:rPr>
                <w:rFonts w:cs="Arial"/>
                <w:b/>
                <w:szCs w:val="20"/>
              </w:rPr>
              <w:t xml:space="preserve"> and Date Identified</w:t>
            </w:r>
          </w:p>
        </w:tc>
        <w:tc>
          <w:tcPr>
            <w:tcW w:w="1808" w:type="dxa"/>
            <w:shd w:val="clear" w:color="auto" w:fill="FABF8F" w:themeFill="accent6" w:themeFillTint="99"/>
          </w:tcPr>
          <w:p w14:paraId="27546064" w14:textId="77777777" w:rsidR="009D129C" w:rsidRPr="001D0F8F" w:rsidRDefault="009D129C" w:rsidP="00BE5DE4">
            <w:pPr>
              <w:rPr>
                <w:rFonts w:cs="Arial"/>
                <w:b/>
                <w:szCs w:val="20"/>
              </w:rPr>
            </w:pPr>
            <w:r>
              <w:rPr>
                <w:rFonts w:cs="Arial"/>
                <w:b/>
                <w:szCs w:val="20"/>
              </w:rPr>
              <w:t>Type</w:t>
            </w:r>
          </w:p>
        </w:tc>
        <w:tc>
          <w:tcPr>
            <w:tcW w:w="2553" w:type="dxa"/>
            <w:shd w:val="clear" w:color="auto" w:fill="FABF8F" w:themeFill="accent6" w:themeFillTint="99"/>
          </w:tcPr>
          <w:p w14:paraId="6B029772" w14:textId="77777777" w:rsidR="009D129C" w:rsidRPr="001D0F8F" w:rsidRDefault="009D129C" w:rsidP="00BE5DE4">
            <w:pPr>
              <w:rPr>
                <w:rFonts w:cs="Arial"/>
                <w:b/>
                <w:szCs w:val="20"/>
              </w:rPr>
            </w:pPr>
            <w:r>
              <w:rPr>
                <w:rFonts w:cs="Arial"/>
                <w:b/>
                <w:szCs w:val="20"/>
              </w:rPr>
              <w:t xml:space="preserve">Probability and </w:t>
            </w:r>
            <w:r w:rsidRPr="001D0F8F">
              <w:rPr>
                <w:rFonts w:cs="Arial"/>
                <w:b/>
                <w:szCs w:val="20"/>
              </w:rPr>
              <w:t xml:space="preserve">Impact </w:t>
            </w:r>
          </w:p>
        </w:tc>
        <w:tc>
          <w:tcPr>
            <w:tcW w:w="2409" w:type="dxa"/>
            <w:shd w:val="clear" w:color="auto" w:fill="FABF8F" w:themeFill="accent6" w:themeFillTint="99"/>
          </w:tcPr>
          <w:p w14:paraId="5D78D651" w14:textId="0E6B9694" w:rsidR="009D129C" w:rsidRPr="001D0F8F" w:rsidRDefault="009D129C" w:rsidP="00BE5DE4">
            <w:pPr>
              <w:rPr>
                <w:rFonts w:cs="Arial"/>
                <w:b/>
                <w:szCs w:val="20"/>
              </w:rPr>
            </w:pPr>
            <w:r w:rsidRPr="001D0F8F">
              <w:rPr>
                <w:rFonts w:cs="Arial"/>
                <w:b/>
                <w:szCs w:val="20"/>
              </w:rPr>
              <w:t>Countermeasures / M</w:t>
            </w:r>
            <w:r>
              <w:rPr>
                <w:rFonts w:cs="Arial"/>
                <w:b/>
                <w:szCs w:val="20"/>
              </w:rPr>
              <w:t>a</w:t>
            </w:r>
            <w:r w:rsidRPr="001D0F8F">
              <w:rPr>
                <w:rFonts w:cs="Arial"/>
                <w:b/>
                <w:szCs w:val="20"/>
              </w:rPr>
              <w:t>n</w:t>
            </w:r>
            <w:r>
              <w:rPr>
                <w:rFonts w:cs="Arial"/>
                <w:b/>
                <w:szCs w:val="20"/>
              </w:rPr>
              <w:t>a</w:t>
            </w:r>
            <w:r w:rsidRPr="001D0F8F">
              <w:rPr>
                <w:rFonts w:cs="Arial"/>
                <w:b/>
                <w:szCs w:val="20"/>
              </w:rPr>
              <w:t>g</w:t>
            </w:r>
            <w:r>
              <w:rPr>
                <w:rFonts w:cs="Arial"/>
                <w:b/>
                <w:szCs w:val="20"/>
              </w:rPr>
              <w:t>ement</w:t>
            </w:r>
            <w:r w:rsidRPr="001D0F8F">
              <w:rPr>
                <w:rFonts w:cs="Arial"/>
                <w:b/>
                <w:szCs w:val="20"/>
              </w:rPr>
              <w:t xml:space="preserve"> response</w:t>
            </w:r>
          </w:p>
        </w:tc>
        <w:tc>
          <w:tcPr>
            <w:tcW w:w="1600" w:type="dxa"/>
            <w:shd w:val="clear" w:color="auto" w:fill="FABF8F" w:themeFill="accent6" w:themeFillTint="99"/>
          </w:tcPr>
          <w:p w14:paraId="7FC2BC76" w14:textId="77777777" w:rsidR="009D129C" w:rsidRPr="001D0F8F" w:rsidRDefault="009D129C" w:rsidP="00BE5DE4">
            <w:pPr>
              <w:rPr>
                <w:rFonts w:cs="Arial"/>
                <w:b/>
                <w:szCs w:val="20"/>
              </w:rPr>
            </w:pPr>
            <w:r>
              <w:rPr>
                <w:rFonts w:cs="Arial"/>
                <w:b/>
                <w:szCs w:val="20"/>
              </w:rPr>
              <w:t>Status</w:t>
            </w:r>
          </w:p>
        </w:tc>
      </w:tr>
      <w:tr w:rsidR="009D129C" w:rsidRPr="00A44EC7" w14:paraId="351EC6FD" w14:textId="77777777" w:rsidTr="00BE5DE4">
        <w:tc>
          <w:tcPr>
            <w:tcW w:w="13872" w:type="dxa"/>
            <w:gridSpan w:val="6"/>
            <w:shd w:val="clear" w:color="auto" w:fill="FDE9D9" w:themeFill="accent6" w:themeFillTint="33"/>
          </w:tcPr>
          <w:p w14:paraId="5A1D67AA" w14:textId="77777777" w:rsidR="009D129C" w:rsidRPr="004D2095" w:rsidRDefault="009D129C" w:rsidP="00BE5DE4">
            <w:pPr>
              <w:spacing w:after="0"/>
              <w:jc w:val="center"/>
              <w:rPr>
                <w:rFonts w:cs="Arial"/>
                <w:sz w:val="20"/>
                <w:szCs w:val="20"/>
              </w:rPr>
            </w:pPr>
            <w:r w:rsidRPr="005931B0">
              <w:rPr>
                <w:rFonts w:cs="Arial"/>
                <w:sz w:val="32"/>
                <w:szCs w:val="32"/>
              </w:rPr>
              <w:t>Risks</w:t>
            </w:r>
          </w:p>
        </w:tc>
      </w:tr>
      <w:tr w:rsidR="009D129C" w:rsidRPr="00A44EC7" w14:paraId="4AFDAB65" w14:textId="77777777" w:rsidTr="00BE5DE4">
        <w:tc>
          <w:tcPr>
            <w:tcW w:w="368" w:type="dxa"/>
          </w:tcPr>
          <w:p w14:paraId="78C4B6C4" w14:textId="77777777" w:rsidR="009D129C" w:rsidRPr="004D2095" w:rsidRDefault="009D129C" w:rsidP="00BE5DE4">
            <w:pPr>
              <w:rPr>
                <w:rFonts w:cs="Arial"/>
                <w:sz w:val="20"/>
                <w:szCs w:val="20"/>
              </w:rPr>
            </w:pPr>
            <w:r>
              <w:rPr>
                <w:rFonts w:cs="Arial"/>
                <w:sz w:val="20"/>
                <w:szCs w:val="20"/>
              </w:rPr>
              <w:t>1</w:t>
            </w:r>
          </w:p>
        </w:tc>
        <w:tc>
          <w:tcPr>
            <w:tcW w:w="5134" w:type="dxa"/>
          </w:tcPr>
          <w:p w14:paraId="2DA47BC2" w14:textId="77777777" w:rsidR="009D129C" w:rsidRDefault="009D129C" w:rsidP="00BE5DE4">
            <w:pPr>
              <w:rPr>
                <w:rFonts w:cs="Arial"/>
                <w:b/>
                <w:bCs/>
                <w:sz w:val="18"/>
                <w:szCs w:val="18"/>
              </w:rPr>
            </w:pPr>
            <w:r>
              <w:rPr>
                <w:rFonts w:cs="Arial"/>
                <w:b/>
                <w:bCs/>
                <w:sz w:val="20"/>
                <w:szCs w:val="20"/>
              </w:rPr>
              <w:t>Description</w:t>
            </w:r>
            <w:r w:rsidRPr="007634F3">
              <w:rPr>
                <w:rFonts w:cs="Arial"/>
                <w:b/>
                <w:bCs/>
                <w:sz w:val="20"/>
                <w:szCs w:val="20"/>
              </w:rPr>
              <w:t>:</w:t>
            </w:r>
            <w:r>
              <w:rPr>
                <w:rFonts w:cs="Arial"/>
                <w:b/>
                <w:bCs/>
                <w:sz w:val="18"/>
                <w:szCs w:val="18"/>
              </w:rPr>
              <w:t xml:space="preserve"> </w:t>
            </w:r>
            <w:r>
              <w:rPr>
                <w:rFonts w:ascii="Calibri" w:hAnsi="Calibri" w:cs="Calibri"/>
                <w:color w:val="000000"/>
                <w:sz w:val="20"/>
                <w:szCs w:val="20"/>
              </w:rPr>
              <w:t>Program set up and implementation takes longer and affects delivery for the entire year</w:t>
            </w:r>
          </w:p>
          <w:p w14:paraId="1A2C9360" w14:textId="77777777" w:rsidR="009D129C" w:rsidRPr="00AA082D" w:rsidRDefault="009D129C" w:rsidP="00BE5DE4">
            <w:pPr>
              <w:rPr>
                <w:rFonts w:cs="Arial"/>
                <w:b/>
                <w:bCs/>
                <w:sz w:val="18"/>
                <w:szCs w:val="18"/>
              </w:rPr>
            </w:pPr>
          </w:p>
          <w:p w14:paraId="3B1E91CF" w14:textId="77777777" w:rsidR="009D129C" w:rsidRPr="005931B0" w:rsidRDefault="009D129C" w:rsidP="00BE5DE4">
            <w:pPr>
              <w:rPr>
                <w:rFonts w:cs="Arial"/>
                <w:iCs/>
                <w:sz w:val="20"/>
                <w:szCs w:val="20"/>
              </w:rPr>
            </w:pPr>
            <w:r>
              <w:rPr>
                <w:rFonts w:cs="Arial"/>
                <w:b/>
                <w:iCs/>
                <w:sz w:val="18"/>
                <w:szCs w:val="18"/>
              </w:rPr>
              <w:t>Date Identified</w:t>
            </w:r>
            <w:r w:rsidRPr="00AA082D">
              <w:rPr>
                <w:rFonts w:cs="Arial"/>
                <w:b/>
                <w:iCs/>
                <w:sz w:val="18"/>
                <w:szCs w:val="18"/>
              </w:rPr>
              <w:t>:</w:t>
            </w:r>
            <w:r>
              <w:rPr>
                <w:rFonts w:cs="Arial"/>
                <w:b/>
                <w:iCs/>
                <w:sz w:val="18"/>
                <w:szCs w:val="18"/>
              </w:rPr>
              <w:t xml:space="preserve"> </w:t>
            </w:r>
            <w:r w:rsidRPr="007634F3">
              <w:rPr>
                <w:rFonts w:cs="Arial"/>
                <w:iCs/>
                <w:sz w:val="20"/>
                <w:szCs w:val="20"/>
              </w:rPr>
              <w:t>20 December 2016</w:t>
            </w:r>
          </w:p>
        </w:tc>
        <w:tc>
          <w:tcPr>
            <w:tcW w:w="1808" w:type="dxa"/>
          </w:tcPr>
          <w:p w14:paraId="1ECC7410" w14:textId="77777777" w:rsidR="009D129C" w:rsidRPr="004D2095" w:rsidRDefault="009D129C" w:rsidP="00BE5DE4">
            <w:pPr>
              <w:spacing w:after="0" w:line="240" w:lineRule="auto"/>
              <w:rPr>
                <w:rFonts w:cs="Arial"/>
                <w:sz w:val="20"/>
                <w:szCs w:val="20"/>
              </w:rPr>
            </w:pPr>
            <w:r w:rsidRPr="004D2095">
              <w:rPr>
                <w:rFonts w:cs="Arial"/>
                <w:sz w:val="20"/>
                <w:szCs w:val="20"/>
              </w:rPr>
              <w:t>Operational</w:t>
            </w:r>
            <w:r>
              <w:rPr>
                <w:rFonts w:cs="Arial"/>
                <w:sz w:val="20"/>
                <w:szCs w:val="20"/>
              </w:rPr>
              <w:t xml:space="preserve"> </w:t>
            </w:r>
          </w:p>
          <w:p w14:paraId="248D56B1" w14:textId="77777777" w:rsidR="009D129C" w:rsidRPr="007C6B32" w:rsidRDefault="009D129C" w:rsidP="00BE5DE4">
            <w:pPr>
              <w:spacing w:after="0" w:line="240" w:lineRule="auto"/>
              <w:rPr>
                <w:rFonts w:cs="Arial"/>
                <w:i/>
                <w:sz w:val="20"/>
                <w:szCs w:val="20"/>
              </w:rPr>
            </w:pPr>
          </w:p>
        </w:tc>
        <w:tc>
          <w:tcPr>
            <w:tcW w:w="2553" w:type="dxa"/>
          </w:tcPr>
          <w:p w14:paraId="5D4385B6" w14:textId="77777777" w:rsidR="009D129C" w:rsidRDefault="009D129C" w:rsidP="00BE5DE4">
            <w:pPr>
              <w:rPr>
                <w:rFonts w:cs="Arial"/>
                <w:sz w:val="20"/>
                <w:szCs w:val="20"/>
              </w:rPr>
            </w:pPr>
            <w:r w:rsidRPr="00F130FC">
              <w:rPr>
                <w:rFonts w:cs="Arial"/>
                <w:sz w:val="20"/>
                <w:szCs w:val="20"/>
              </w:rPr>
              <w:t>Delays in project implementation</w:t>
            </w:r>
            <w:r>
              <w:rPr>
                <w:rFonts w:cs="Arial"/>
                <w:sz w:val="20"/>
                <w:szCs w:val="20"/>
              </w:rPr>
              <w:t xml:space="preserve"> and in the achievement of results </w:t>
            </w:r>
          </w:p>
          <w:p w14:paraId="026D86EA" w14:textId="77777777" w:rsidR="00BE5DE4" w:rsidRDefault="00BE5DE4" w:rsidP="00BE5DE4">
            <w:pPr>
              <w:rPr>
                <w:rFonts w:cs="Arial"/>
                <w:sz w:val="20"/>
                <w:szCs w:val="20"/>
              </w:rPr>
            </w:pPr>
          </w:p>
          <w:p w14:paraId="3EDD72C9" w14:textId="77777777" w:rsidR="00BE5DE4" w:rsidRPr="00F130FC" w:rsidRDefault="00BE5DE4" w:rsidP="00BE5DE4">
            <w:pPr>
              <w:rPr>
                <w:rFonts w:cs="Arial"/>
                <w:sz w:val="20"/>
                <w:szCs w:val="20"/>
              </w:rPr>
            </w:pPr>
            <w:r>
              <w:rPr>
                <w:rFonts w:cs="Arial"/>
                <w:sz w:val="20"/>
                <w:szCs w:val="20"/>
              </w:rPr>
              <w:t>3</w:t>
            </w:r>
          </w:p>
          <w:p w14:paraId="50895034" w14:textId="77777777" w:rsidR="009D129C" w:rsidRPr="004D2095" w:rsidRDefault="009D129C" w:rsidP="00BE5DE4">
            <w:pPr>
              <w:rPr>
                <w:rFonts w:cs="Arial"/>
                <w:sz w:val="20"/>
                <w:szCs w:val="20"/>
              </w:rPr>
            </w:pPr>
          </w:p>
          <w:p w14:paraId="3ED6BACD" w14:textId="77777777" w:rsidR="009D129C" w:rsidRPr="00597A44" w:rsidRDefault="009D129C" w:rsidP="00BE5DE4">
            <w:pPr>
              <w:spacing w:after="0" w:line="240" w:lineRule="auto"/>
              <w:rPr>
                <w:sz w:val="16"/>
                <w:szCs w:val="16"/>
              </w:rPr>
            </w:pPr>
            <w:r w:rsidRPr="00597A44">
              <w:rPr>
                <w:b/>
                <w:bCs/>
                <w:sz w:val="20"/>
                <w:szCs w:val="20"/>
              </w:rPr>
              <w:t xml:space="preserve">Probability </w:t>
            </w:r>
            <w:r w:rsidRPr="00597A44">
              <w:rPr>
                <w:sz w:val="16"/>
                <w:szCs w:val="16"/>
              </w:rPr>
              <w:t>(very likely=5, Likely=4, Moderate=3, unlikely=2, very unlikely=1)</w:t>
            </w:r>
          </w:p>
          <w:p w14:paraId="4EC91121" w14:textId="77777777" w:rsidR="009D129C" w:rsidRDefault="009D129C" w:rsidP="00BE5DE4">
            <w:pPr>
              <w:rPr>
                <w:rFonts w:cs="Arial"/>
                <w:i/>
                <w:color w:val="548DD4" w:themeColor="text2" w:themeTint="99"/>
                <w:sz w:val="20"/>
                <w:szCs w:val="20"/>
              </w:rPr>
            </w:pPr>
            <w:r w:rsidRPr="00597A44">
              <w:rPr>
                <w:b/>
                <w:bCs/>
                <w:sz w:val="20"/>
                <w:szCs w:val="20"/>
              </w:rPr>
              <w:t xml:space="preserve">Impact on results </w:t>
            </w:r>
            <w:r w:rsidRPr="00597A44">
              <w:rPr>
                <w:sz w:val="16"/>
                <w:szCs w:val="16"/>
              </w:rPr>
              <w:t>(critical=5, severe=4, moderate=3, minor=2, negligible=1)</w:t>
            </w:r>
            <w:r w:rsidRPr="00AA082D">
              <w:rPr>
                <w:rFonts w:cs="Arial"/>
                <w:i/>
                <w:color w:val="548DD4" w:themeColor="text2" w:themeTint="99"/>
                <w:sz w:val="20"/>
                <w:szCs w:val="20"/>
              </w:rPr>
              <w:t xml:space="preserve"> </w:t>
            </w:r>
          </w:p>
          <w:p w14:paraId="12A303D8" w14:textId="77777777" w:rsidR="009D129C" w:rsidRPr="007C6B32" w:rsidRDefault="009D129C" w:rsidP="00BE5DE4">
            <w:pPr>
              <w:rPr>
                <w:rFonts w:cs="Arial"/>
                <w:i/>
                <w:sz w:val="20"/>
                <w:szCs w:val="20"/>
              </w:rPr>
            </w:pPr>
          </w:p>
        </w:tc>
        <w:tc>
          <w:tcPr>
            <w:tcW w:w="2409" w:type="dxa"/>
          </w:tcPr>
          <w:p w14:paraId="12D73BAE" w14:textId="77777777" w:rsidR="009D129C" w:rsidRPr="00AA082D" w:rsidRDefault="009D129C" w:rsidP="00BE5DE4">
            <w:pPr>
              <w:rPr>
                <w:rFonts w:cs="Arial"/>
                <w:color w:val="548DD4" w:themeColor="text2" w:themeTint="99"/>
                <w:sz w:val="20"/>
                <w:szCs w:val="20"/>
              </w:rPr>
            </w:pPr>
            <w:r>
              <w:rPr>
                <w:rFonts w:ascii="Calibri" w:hAnsi="Calibri" w:cs="Calibri"/>
                <w:color w:val="000000"/>
                <w:sz w:val="20"/>
                <w:szCs w:val="20"/>
              </w:rPr>
              <w:t>Management has discussed and charted way forward to remedy to yearly challenges. As part of the solution, it is now anticipated that all annual work plans should be discussed with partners, prepared and completed by 15 December each year so that implementation can start in January of the next year.</w:t>
            </w:r>
          </w:p>
          <w:p w14:paraId="66193D41" w14:textId="77777777" w:rsidR="009D129C" w:rsidRPr="007C6B32" w:rsidRDefault="009D129C" w:rsidP="00BE5DE4">
            <w:pPr>
              <w:rPr>
                <w:rFonts w:cs="Arial"/>
                <w:i/>
                <w:sz w:val="20"/>
                <w:szCs w:val="20"/>
              </w:rPr>
            </w:pPr>
          </w:p>
        </w:tc>
        <w:tc>
          <w:tcPr>
            <w:tcW w:w="1600" w:type="dxa"/>
          </w:tcPr>
          <w:p w14:paraId="714FC58B" w14:textId="77777777" w:rsidR="009D129C" w:rsidRPr="00BE5DE4" w:rsidRDefault="009D129C" w:rsidP="00BE5DE4">
            <w:pPr>
              <w:rPr>
                <w:rFonts w:cs="Arial"/>
                <w:sz w:val="20"/>
                <w:szCs w:val="20"/>
              </w:rPr>
            </w:pPr>
            <w:r w:rsidRPr="00BE5DE4">
              <w:rPr>
                <w:rFonts w:cs="Arial"/>
                <w:sz w:val="20"/>
                <w:szCs w:val="20"/>
              </w:rPr>
              <w:t xml:space="preserve">Reducing </w:t>
            </w:r>
          </w:p>
          <w:p w14:paraId="1C5A6B05" w14:textId="77777777" w:rsidR="009D129C" w:rsidRPr="00AA082D" w:rsidRDefault="009D129C" w:rsidP="00BE5DE4">
            <w:pPr>
              <w:rPr>
                <w:rFonts w:cs="Arial"/>
                <w:color w:val="548DD4" w:themeColor="text2" w:themeTint="99"/>
                <w:sz w:val="20"/>
                <w:szCs w:val="20"/>
              </w:rPr>
            </w:pPr>
          </w:p>
          <w:p w14:paraId="53C86CAB" w14:textId="77777777" w:rsidR="009D129C" w:rsidRPr="00AA082D" w:rsidRDefault="009D129C" w:rsidP="00BE5DE4">
            <w:pPr>
              <w:rPr>
                <w:rFonts w:cs="Arial"/>
                <w:i/>
                <w:color w:val="548DD4" w:themeColor="text2" w:themeTint="99"/>
                <w:sz w:val="20"/>
                <w:szCs w:val="20"/>
              </w:rPr>
            </w:pPr>
          </w:p>
        </w:tc>
      </w:tr>
      <w:tr w:rsidR="00BE5DE4" w:rsidRPr="00A44EC7" w14:paraId="052A9B73" w14:textId="77777777" w:rsidTr="00BE5DE4">
        <w:tc>
          <w:tcPr>
            <w:tcW w:w="368" w:type="dxa"/>
          </w:tcPr>
          <w:p w14:paraId="00A52247" w14:textId="77777777" w:rsidR="00BE5DE4" w:rsidRDefault="00BE5DE4" w:rsidP="00BE5DE4">
            <w:pPr>
              <w:rPr>
                <w:rFonts w:cs="Arial"/>
                <w:sz w:val="20"/>
                <w:szCs w:val="20"/>
              </w:rPr>
            </w:pPr>
            <w:r>
              <w:rPr>
                <w:rFonts w:cs="Arial"/>
                <w:sz w:val="20"/>
                <w:szCs w:val="20"/>
              </w:rPr>
              <w:t>2</w:t>
            </w:r>
          </w:p>
        </w:tc>
        <w:tc>
          <w:tcPr>
            <w:tcW w:w="5134" w:type="dxa"/>
          </w:tcPr>
          <w:p w14:paraId="5A20B670" w14:textId="48F52038" w:rsidR="00BE5DE4" w:rsidRDefault="00BE5DE4" w:rsidP="00BE5DE4">
            <w:pPr>
              <w:rPr>
                <w:rFonts w:ascii="Calibri" w:hAnsi="Calibri" w:cs="Calibri"/>
                <w:color w:val="000000"/>
                <w:sz w:val="20"/>
                <w:szCs w:val="20"/>
              </w:rPr>
            </w:pPr>
            <w:r w:rsidRPr="007634F3">
              <w:rPr>
                <w:rFonts w:ascii="Calibri" w:hAnsi="Calibri" w:cs="Calibri"/>
                <w:b/>
                <w:color w:val="000000"/>
                <w:sz w:val="20"/>
                <w:szCs w:val="20"/>
              </w:rPr>
              <w:t>Description:</w:t>
            </w:r>
            <w:r>
              <w:rPr>
                <w:rFonts w:ascii="Calibri" w:hAnsi="Calibri" w:cs="Calibri"/>
                <w:color w:val="000000"/>
                <w:sz w:val="20"/>
                <w:szCs w:val="20"/>
              </w:rPr>
              <w:t xml:space="preserve"> The </w:t>
            </w:r>
            <w:r w:rsidR="008515B6">
              <w:rPr>
                <w:rFonts w:ascii="Calibri" w:hAnsi="Calibri" w:cs="Calibri"/>
                <w:color w:val="000000"/>
                <w:sz w:val="20"/>
                <w:szCs w:val="20"/>
              </w:rPr>
              <w:t xml:space="preserve">electoral cycle has affected the implementation of the project for 2018. </w:t>
            </w:r>
          </w:p>
          <w:p w14:paraId="3403CCD1" w14:textId="77777777" w:rsidR="00BE5DE4" w:rsidRPr="005931B0" w:rsidRDefault="00BE5DE4" w:rsidP="00BE5DE4">
            <w:pPr>
              <w:rPr>
                <w:rFonts w:cs="Arial"/>
                <w:b/>
                <w:bCs/>
                <w:sz w:val="20"/>
                <w:szCs w:val="20"/>
              </w:rPr>
            </w:pPr>
            <w:r>
              <w:rPr>
                <w:rFonts w:cs="Arial"/>
                <w:b/>
                <w:iCs/>
                <w:sz w:val="18"/>
                <w:szCs w:val="18"/>
              </w:rPr>
              <w:t>Date Identified</w:t>
            </w:r>
            <w:r w:rsidRPr="00AA082D">
              <w:rPr>
                <w:rFonts w:cs="Arial"/>
                <w:b/>
                <w:iCs/>
                <w:sz w:val="18"/>
                <w:szCs w:val="18"/>
              </w:rPr>
              <w:t>:</w:t>
            </w:r>
            <w:r>
              <w:rPr>
                <w:rFonts w:cs="Arial"/>
                <w:b/>
                <w:iCs/>
                <w:sz w:val="18"/>
                <w:szCs w:val="18"/>
              </w:rPr>
              <w:t xml:space="preserve"> </w:t>
            </w:r>
            <w:r>
              <w:rPr>
                <w:rFonts w:ascii="Calibri" w:hAnsi="Calibri" w:cs="Calibri"/>
                <w:color w:val="000000"/>
                <w:sz w:val="20"/>
                <w:szCs w:val="20"/>
              </w:rPr>
              <w:t>12 June 2017</w:t>
            </w:r>
          </w:p>
        </w:tc>
        <w:tc>
          <w:tcPr>
            <w:tcW w:w="1808" w:type="dxa"/>
          </w:tcPr>
          <w:p w14:paraId="10D542F9" w14:textId="77777777" w:rsidR="00BE5DE4" w:rsidRPr="004D2095" w:rsidRDefault="00BE5DE4" w:rsidP="00BE5DE4">
            <w:pPr>
              <w:spacing w:after="0" w:line="240" w:lineRule="auto"/>
              <w:rPr>
                <w:rFonts w:cs="Arial"/>
                <w:sz w:val="20"/>
                <w:szCs w:val="20"/>
              </w:rPr>
            </w:pPr>
            <w:r>
              <w:rPr>
                <w:rFonts w:cs="Arial"/>
                <w:sz w:val="20"/>
                <w:szCs w:val="20"/>
              </w:rPr>
              <w:t xml:space="preserve">Political </w:t>
            </w:r>
          </w:p>
        </w:tc>
        <w:tc>
          <w:tcPr>
            <w:tcW w:w="2553" w:type="dxa"/>
          </w:tcPr>
          <w:p w14:paraId="60770426" w14:textId="77777777" w:rsidR="00BE5DE4" w:rsidRPr="004D2095" w:rsidRDefault="00BE5DE4" w:rsidP="00BE5DE4">
            <w:pPr>
              <w:rPr>
                <w:rFonts w:cs="Arial"/>
                <w:sz w:val="20"/>
                <w:szCs w:val="20"/>
              </w:rPr>
            </w:pPr>
            <w:r>
              <w:rPr>
                <w:rFonts w:cs="Arial"/>
                <w:sz w:val="20"/>
                <w:szCs w:val="20"/>
              </w:rPr>
              <w:t>4</w:t>
            </w:r>
          </w:p>
        </w:tc>
        <w:tc>
          <w:tcPr>
            <w:tcW w:w="2409" w:type="dxa"/>
          </w:tcPr>
          <w:p w14:paraId="50E720C3" w14:textId="2AC7D2FC" w:rsidR="008515B6" w:rsidRPr="004D2095" w:rsidRDefault="00BE5DE4" w:rsidP="008515B6">
            <w:pPr>
              <w:rPr>
                <w:rFonts w:cs="Arial"/>
                <w:sz w:val="20"/>
                <w:szCs w:val="20"/>
              </w:rPr>
            </w:pPr>
            <w:r>
              <w:rPr>
                <w:rFonts w:ascii="Calibri" w:hAnsi="Calibri" w:cs="Calibri"/>
                <w:color w:val="000000"/>
                <w:sz w:val="20"/>
                <w:szCs w:val="20"/>
              </w:rPr>
              <w:t>Management ha</w:t>
            </w:r>
            <w:r w:rsidR="008515B6">
              <w:rPr>
                <w:rFonts w:ascii="Calibri" w:hAnsi="Calibri" w:cs="Calibri"/>
                <w:color w:val="000000"/>
                <w:sz w:val="20"/>
                <w:szCs w:val="20"/>
              </w:rPr>
              <w:t>d</w:t>
            </w:r>
            <w:r>
              <w:rPr>
                <w:rFonts w:ascii="Calibri" w:hAnsi="Calibri" w:cs="Calibri"/>
                <w:color w:val="000000"/>
                <w:sz w:val="20"/>
                <w:szCs w:val="20"/>
              </w:rPr>
              <w:t xml:space="preserve"> discussed with programme colleagues </w:t>
            </w:r>
            <w:r w:rsidR="008515B6">
              <w:rPr>
                <w:rFonts w:ascii="Calibri" w:hAnsi="Calibri" w:cs="Calibri"/>
                <w:color w:val="000000"/>
                <w:sz w:val="20"/>
                <w:szCs w:val="20"/>
              </w:rPr>
              <w:t xml:space="preserve">with steps taken to mitigate impact on projects especially projects not elections-related. </w:t>
            </w:r>
          </w:p>
          <w:p w14:paraId="4DE0B573" w14:textId="37673B5D" w:rsidR="00BE5DE4" w:rsidRPr="004D2095" w:rsidRDefault="00BE5DE4" w:rsidP="00BE5DE4">
            <w:pPr>
              <w:rPr>
                <w:rFonts w:cs="Arial"/>
                <w:sz w:val="20"/>
                <w:szCs w:val="20"/>
              </w:rPr>
            </w:pPr>
          </w:p>
        </w:tc>
        <w:tc>
          <w:tcPr>
            <w:tcW w:w="1600" w:type="dxa"/>
          </w:tcPr>
          <w:p w14:paraId="409DEA19" w14:textId="77777777" w:rsidR="00BE5DE4" w:rsidRPr="004D2095" w:rsidRDefault="00BE5DE4" w:rsidP="00BE5DE4">
            <w:pPr>
              <w:rPr>
                <w:rFonts w:cs="Arial"/>
                <w:sz w:val="20"/>
                <w:szCs w:val="20"/>
              </w:rPr>
            </w:pPr>
            <w:r>
              <w:rPr>
                <w:rFonts w:cs="Arial"/>
                <w:sz w:val="20"/>
                <w:szCs w:val="20"/>
              </w:rPr>
              <w:lastRenderedPageBreak/>
              <w:t>Reducing</w:t>
            </w:r>
          </w:p>
        </w:tc>
      </w:tr>
      <w:tr w:rsidR="00E423FE" w:rsidRPr="00A44EC7" w14:paraId="3B239B6E" w14:textId="77777777" w:rsidTr="00BE5DE4">
        <w:tc>
          <w:tcPr>
            <w:tcW w:w="368" w:type="dxa"/>
          </w:tcPr>
          <w:p w14:paraId="4E9A4080" w14:textId="77777777" w:rsidR="00E423FE" w:rsidRDefault="00E423FE" w:rsidP="00E423FE">
            <w:pPr>
              <w:rPr>
                <w:rFonts w:cs="Arial"/>
                <w:sz w:val="20"/>
                <w:szCs w:val="20"/>
              </w:rPr>
            </w:pPr>
            <w:r>
              <w:rPr>
                <w:rFonts w:cs="Arial"/>
                <w:sz w:val="20"/>
                <w:szCs w:val="20"/>
              </w:rPr>
              <w:t xml:space="preserve">3. </w:t>
            </w:r>
          </w:p>
        </w:tc>
        <w:tc>
          <w:tcPr>
            <w:tcW w:w="5134" w:type="dxa"/>
          </w:tcPr>
          <w:p w14:paraId="0EA95169" w14:textId="77777777" w:rsidR="00E423FE" w:rsidRDefault="00E423FE" w:rsidP="00E423FE">
            <w:pPr>
              <w:spacing w:before="75" w:after="300"/>
              <w:rPr>
                <w:rFonts w:ascii="Calibri" w:hAnsi="Calibri" w:cs="Calibri"/>
                <w:color w:val="000000"/>
                <w:sz w:val="20"/>
                <w:szCs w:val="20"/>
              </w:rPr>
            </w:pPr>
            <w:r>
              <w:rPr>
                <w:rFonts w:ascii="Calibri" w:hAnsi="Calibri" w:cs="Calibri"/>
                <w:b/>
                <w:color w:val="000000"/>
                <w:sz w:val="20"/>
                <w:szCs w:val="20"/>
              </w:rPr>
              <w:t xml:space="preserve">Description: </w:t>
            </w:r>
            <w:r>
              <w:rPr>
                <w:rFonts w:ascii="Calibri" w:hAnsi="Calibri" w:cs="Calibri"/>
                <w:color w:val="000000"/>
                <w:sz w:val="20"/>
                <w:szCs w:val="20"/>
              </w:rPr>
              <w:t>Full funding for the program is not available</w:t>
            </w:r>
          </w:p>
          <w:p w14:paraId="10A4D3A2" w14:textId="77777777" w:rsidR="00E423FE" w:rsidRDefault="00E423FE" w:rsidP="00E423FE">
            <w:pPr>
              <w:spacing w:before="75" w:after="300"/>
              <w:rPr>
                <w:rFonts w:ascii="Calibri" w:hAnsi="Calibri" w:cs="Calibri"/>
                <w:color w:val="000000"/>
                <w:sz w:val="20"/>
                <w:szCs w:val="20"/>
              </w:rPr>
            </w:pPr>
            <w:r>
              <w:rPr>
                <w:rFonts w:cs="Arial"/>
                <w:b/>
                <w:iCs/>
                <w:sz w:val="18"/>
                <w:szCs w:val="18"/>
              </w:rPr>
              <w:t>Date Identified</w:t>
            </w:r>
            <w:r w:rsidRPr="00AA082D">
              <w:rPr>
                <w:rFonts w:cs="Arial"/>
                <w:b/>
                <w:iCs/>
                <w:sz w:val="18"/>
                <w:szCs w:val="18"/>
              </w:rPr>
              <w:t>:</w:t>
            </w:r>
            <w:r>
              <w:rPr>
                <w:rFonts w:cs="Arial"/>
                <w:b/>
                <w:iCs/>
                <w:sz w:val="18"/>
                <w:szCs w:val="18"/>
              </w:rPr>
              <w:t xml:space="preserve"> </w:t>
            </w:r>
            <w:r>
              <w:rPr>
                <w:rFonts w:ascii="Calibri" w:hAnsi="Calibri" w:cs="Calibri"/>
                <w:color w:val="000000"/>
                <w:sz w:val="20"/>
                <w:szCs w:val="20"/>
              </w:rPr>
              <w:t>1 July 2015</w:t>
            </w:r>
          </w:p>
        </w:tc>
        <w:tc>
          <w:tcPr>
            <w:tcW w:w="1808" w:type="dxa"/>
          </w:tcPr>
          <w:p w14:paraId="1E57A0F4" w14:textId="77777777" w:rsidR="00E423FE" w:rsidRDefault="00E423FE" w:rsidP="00E423FE">
            <w:pPr>
              <w:spacing w:before="75" w:after="300"/>
              <w:rPr>
                <w:rFonts w:ascii="Calibri" w:hAnsi="Calibri" w:cs="Calibri"/>
                <w:color w:val="000000"/>
                <w:sz w:val="20"/>
                <w:szCs w:val="20"/>
              </w:rPr>
            </w:pPr>
            <w:r>
              <w:rPr>
                <w:rFonts w:ascii="Calibri" w:hAnsi="Calibri" w:cs="Calibri"/>
                <w:color w:val="000000"/>
                <w:sz w:val="20"/>
                <w:szCs w:val="20"/>
              </w:rPr>
              <w:t xml:space="preserve">Financial </w:t>
            </w:r>
          </w:p>
        </w:tc>
        <w:tc>
          <w:tcPr>
            <w:tcW w:w="2553" w:type="dxa"/>
          </w:tcPr>
          <w:p w14:paraId="22C685D6" w14:textId="77777777" w:rsidR="00E423FE" w:rsidRDefault="00E423FE" w:rsidP="00E423FE">
            <w:pPr>
              <w:spacing w:before="75" w:after="300"/>
              <w:rPr>
                <w:rFonts w:ascii="Calibri" w:hAnsi="Calibri" w:cs="Calibri"/>
                <w:color w:val="000000"/>
                <w:sz w:val="20"/>
                <w:szCs w:val="20"/>
              </w:rPr>
            </w:pPr>
            <w:r>
              <w:rPr>
                <w:rFonts w:ascii="Calibri" w:hAnsi="Calibri" w:cs="Calibri"/>
                <w:color w:val="000000"/>
                <w:sz w:val="20"/>
                <w:szCs w:val="20"/>
              </w:rPr>
              <w:t>4</w:t>
            </w:r>
          </w:p>
        </w:tc>
        <w:tc>
          <w:tcPr>
            <w:tcW w:w="2409" w:type="dxa"/>
          </w:tcPr>
          <w:p w14:paraId="35092A60" w14:textId="059522DC" w:rsidR="00E423FE" w:rsidRDefault="00E423FE" w:rsidP="00E423FE">
            <w:pPr>
              <w:spacing w:before="75" w:after="300"/>
              <w:rPr>
                <w:rFonts w:ascii="Calibri" w:hAnsi="Calibri" w:cs="Calibri"/>
                <w:color w:val="000000"/>
                <w:sz w:val="20"/>
                <w:szCs w:val="20"/>
              </w:rPr>
            </w:pPr>
            <w:r>
              <w:rPr>
                <w:rFonts w:ascii="Calibri" w:hAnsi="Calibri" w:cs="Calibri"/>
                <w:color w:val="000000"/>
                <w:sz w:val="20"/>
                <w:szCs w:val="20"/>
              </w:rPr>
              <w:t xml:space="preserve">This is a recurring risk, and so </w:t>
            </w:r>
            <w:proofErr w:type="gramStart"/>
            <w:r>
              <w:rPr>
                <w:rFonts w:ascii="Calibri" w:hAnsi="Calibri" w:cs="Calibri"/>
                <w:color w:val="000000"/>
                <w:sz w:val="20"/>
                <w:szCs w:val="20"/>
              </w:rPr>
              <w:t>far</w:t>
            </w:r>
            <w:proofErr w:type="gramEnd"/>
            <w:r>
              <w:rPr>
                <w:rFonts w:ascii="Calibri" w:hAnsi="Calibri" w:cs="Calibri"/>
                <w:color w:val="000000"/>
                <w:sz w:val="20"/>
                <w:szCs w:val="20"/>
              </w:rPr>
              <w:t xml:space="preserve"> the Rule of Law Team has been active in fundraising both with donors present in Sierra Leone and also with donors not present. </w:t>
            </w:r>
            <w:proofErr w:type="gramStart"/>
            <w:r>
              <w:rPr>
                <w:rFonts w:ascii="Calibri" w:hAnsi="Calibri" w:cs="Calibri"/>
                <w:color w:val="000000"/>
                <w:sz w:val="20"/>
                <w:szCs w:val="20"/>
              </w:rPr>
              <w:t>Also</w:t>
            </w:r>
            <w:proofErr w:type="gramEnd"/>
            <w:r>
              <w:rPr>
                <w:rFonts w:ascii="Calibri" w:hAnsi="Calibri" w:cs="Calibri"/>
                <w:color w:val="000000"/>
                <w:sz w:val="20"/>
                <w:szCs w:val="20"/>
              </w:rPr>
              <w:t xml:space="preserve"> UNDP HQ and Regional Office has on a regular basis been informed of results, progress and new innovations that could potentially attract donors. INL has been a donor since 2015 and is presently supporting several outputs of the Rule of Law and additional funding has been sought from this donor and we are awaiting final response.</w:t>
            </w:r>
            <w:r w:rsidR="0004536C">
              <w:rPr>
                <w:rFonts w:ascii="Calibri" w:hAnsi="Calibri" w:cs="Calibri"/>
                <w:color w:val="000000"/>
                <w:sz w:val="20"/>
                <w:szCs w:val="20"/>
              </w:rPr>
              <w:t xml:space="preserve"> </w:t>
            </w:r>
          </w:p>
        </w:tc>
        <w:tc>
          <w:tcPr>
            <w:tcW w:w="1600" w:type="dxa"/>
          </w:tcPr>
          <w:p w14:paraId="3BAB713A" w14:textId="77777777" w:rsidR="00E423FE" w:rsidRDefault="00E423FE" w:rsidP="00E423FE">
            <w:pPr>
              <w:spacing w:before="75" w:after="300"/>
              <w:rPr>
                <w:rFonts w:ascii="Calibri" w:hAnsi="Calibri" w:cs="Calibri"/>
                <w:color w:val="000000"/>
                <w:sz w:val="20"/>
                <w:szCs w:val="20"/>
              </w:rPr>
            </w:pPr>
            <w:r>
              <w:rPr>
                <w:rFonts w:ascii="Calibri" w:hAnsi="Calibri" w:cs="Calibri"/>
                <w:color w:val="000000"/>
                <w:sz w:val="20"/>
                <w:szCs w:val="20"/>
              </w:rPr>
              <w:t>Ongoing</w:t>
            </w:r>
          </w:p>
        </w:tc>
      </w:tr>
    </w:tbl>
    <w:p w14:paraId="600EB13D" w14:textId="77777777" w:rsidR="003A3227" w:rsidRDefault="009D129C" w:rsidP="00612A30">
      <w:pPr>
        <w:sectPr w:rsidR="003A3227" w:rsidSect="00380308">
          <w:pgSz w:w="15840" w:h="12240" w:orient="landscape"/>
          <w:pgMar w:top="851" w:right="1440" w:bottom="1440" w:left="709" w:header="720" w:footer="720" w:gutter="0"/>
          <w:cols w:space="720"/>
          <w:docGrid w:linePitch="360"/>
        </w:sectPr>
      </w:pPr>
      <w:r>
        <w:br w:type="page"/>
      </w:r>
    </w:p>
    <w:p w14:paraId="2EB248AE" w14:textId="77777777" w:rsidR="00DC5213" w:rsidRDefault="00344072" w:rsidP="0022405F">
      <w:pPr>
        <w:pStyle w:val="Heading1"/>
      </w:pPr>
      <w:bookmarkStart w:id="16" w:name="_Toc503736519"/>
      <w:r>
        <w:lastRenderedPageBreak/>
        <w:t>Partnerships</w:t>
      </w:r>
      <w:bookmarkEnd w:id="16"/>
    </w:p>
    <w:p w14:paraId="089AF4AF" w14:textId="5625DCD1" w:rsidR="006C14DF" w:rsidRDefault="006C14DF" w:rsidP="00D80D97">
      <w:pPr>
        <w:pStyle w:val="BodyText"/>
        <w:jc w:val="both"/>
        <w:rPr>
          <w:rFonts w:asciiTheme="minorHAnsi" w:hAnsiTheme="minorHAnsi" w:cstheme="minorHAnsi"/>
          <w:szCs w:val="22"/>
        </w:rPr>
      </w:pPr>
      <w:r w:rsidRPr="006C14DF">
        <w:rPr>
          <w:rFonts w:asciiTheme="minorHAnsi" w:eastAsia="Calibri" w:hAnsiTheme="minorHAnsi" w:cstheme="minorHAnsi"/>
          <w:szCs w:val="22"/>
        </w:rPr>
        <w:t xml:space="preserve">The establishment of multi-stakeholder partnerships </w:t>
      </w:r>
      <w:r>
        <w:rPr>
          <w:rFonts w:asciiTheme="minorHAnsi" w:eastAsia="Calibri" w:hAnsiTheme="minorHAnsi" w:cstheme="minorHAnsi"/>
          <w:szCs w:val="22"/>
        </w:rPr>
        <w:t>is</w:t>
      </w:r>
      <w:r w:rsidRPr="006C14DF">
        <w:rPr>
          <w:rFonts w:asciiTheme="minorHAnsi" w:eastAsia="Calibri" w:hAnsiTheme="minorHAnsi" w:cstheme="minorHAnsi"/>
          <w:szCs w:val="22"/>
        </w:rPr>
        <w:t xml:space="preserve"> a strategic </w:t>
      </w:r>
      <w:r w:rsidRPr="006C14DF">
        <w:rPr>
          <w:rFonts w:asciiTheme="minorHAnsi" w:eastAsia="Calibri" w:hAnsiTheme="minorHAnsi" w:cstheme="minorHAnsi"/>
          <w:iCs/>
          <w:szCs w:val="22"/>
        </w:rPr>
        <w:t xml:space="preserve">modus operandi </w:t>
      </w:r>
      <w:r w:rsidRPr="006C14DF">
        <w:rPr>
          <w:rFonts w:asciiTheme="minorHAnsi" w:eastAsia="Calibri" w:hAnsiTheme="minorHAnsi" w:cstheme="minorHAnsi"/>
          <w:szCs w:val="22"/>
        </w:rPr>
        <w:t>throughout the implementation of the project</w:t>
      </w:r>
      <w:r>
        <w:rPr>
          <w:rFonts w:asciiTheme="minorHAnsi" w:eastAsia="Calibri" w:hAnsiTheme="minorHAnsi" w:cstheme="minorHAnsi"/>
          <w:szCs w:val="22"/>
        </w:rPr>
        <w:t>s</w:t>
      </w:r>
      <w:r w:rsidRPr="006C14DF">
        <w:rPr>
          <w:rFonts w:asciiTheme="minorHAnsi" w:eastAsia="Calibri" w:hAnsiTheme="minorHAnsi" w:cstheme="minorHAnsi"/>
          <w:szCs w:val="22"/>
        </w:rPr>
        <w:t xml:space="preserve">. </w:t>
      </w:r>
      <w:r w:rsidRPr="006C14DF">
        <w:rPr>
          <w:rFonts w:asciiTheme="minorHAnsi" w:hAnsiTheme="minorHAnsi" w:cstheme="minorHAnsi"/>
          <w:szCs w:val="22"/>
        </w:rPr>
        <w:t>The key implementing partners are the justice, security and human rights institutions with which the project</w:t>
      </w:r>
      <w:r>
        <w:rPr>
          <w:rFonts w:asciiTheme="minorHAnsi" w:hAnsiTheme="minorHAnsi" w:cstheme="minorHAnsi"/>
          <w:szCs w:val="22"/>
        </w:rPr>
        <w:t>s</w:t>
      </w:r>
      <w:r w:rsidRPr="006C14DF">
        <w:rPr>
          <w:rFonts w:asciiTheme="minorHAnsi" w:hAnsiTheme="minorHAnsi" w:cstheme="minorHAnsi"/>
          <w:szCs w:val="22"/>
        </w:rPr>
        <w:t xml:space="preserve"> </w:t>
      </w:r>
      <w:r>
        <w:rPr>
          <w:rFonts w:asciiTheme="minorHAnsi" w:hAnsiTheme="minorHAnsi" w:cstheme="minorHAnsi"/>
          <w:szCs w:val="22"/>
        </w:rPr>
        <w:t>were</w:t>
      </w:r>
      <w:r w:rsidRPr="006C14DF">
        <w:rPr>
          <w:rFonts w:asciiTheme="minorHAnsi" w:hAnsiTheme="minorHAnsi" w:cstheme="minorHAnsi"/>
          <w:szCs w:val="22"/>
        </w:rPr>
        <w:t xml:space="preserve"> formally devised and agreed</w:t>
      </w:r>
      <w:r>
        <w:rPr>
          <w:rFonts w:asciiTheme="minorHAnsi" w:hAnsiTheme="minorHAnsi" w:cstheme="minorHAnsi"/>
          <w:szCs w:val="22"/>
        </w:rPr>
        <w:t xml:space="preserve">. These include </w:t>
      </w:r>
      <w:r w:rsidRPr="006C14DF">
        <w:rPr>
          <w:rFonts w:asciiTheme="minorHAnsi" w:hAnsiTheme="minorHAnsi" w:cstheme="minorHAnsi"/>
          <w:color w:val="000000"/>
          <w:szCs w:val="22"/>
        </w:rPr>
        <w:t xml:space="preserve">Sierra Leone Police, Ministry of Justice, </w:t>
      </w:r>
      <w:r w:rsidR="0004536C">
        <w:rPr>
          <w:rFonts w:asciiTheme="minorHAnsi" w:hAnsiTheme="minorHAnsi" w:cstheme="minorHAnsi"/>
          <w:color w:val="000000"/>
          <w:szCs w:val="22"/>
        </w:rPr>
        <w:t xml:space="preserve">the Justice Sector Coordination Office, the </w:t>
      </w:r>
      <w:r w:rsidRPr="006C14DF">
        <w:rPr>
          <w:rFonts w:asciiTheme="minorHAnsi" w:hAnsiTheme="minorHAnsi" w:cstheme="minorHAnsi"/>
          <w:color w:val="000000"/>
          <w:szCs w:val="22"/>
        </w:rPr>
        <w:t xml:space="preserve">Judiciary, Correctional Service, Independent Police Complaints Board, Human Rights Commission and Civil Society </w:t>
      </w:r>
      <w:proofErr w:type="spellStart"/>
      <w:r w:rsidRPr="006C14DF">
        <w:rPr>
          <w:rFonts w:asciiTheme="minorHAnsi" w:hAnsiTheme="minorHAnsi" w:cstheme="minorHAnsi"/>
          <w:color w:val="000000"/>
          <w:szCs w:val="22"/>
        </w:rPr>
        <w:t>Organisations</w:t>
      </w:r>
      <w:proofErr w:type="spellEnd"/>
      <w:r>
        <w:rPr>
          <w:rFonts w:asciiTheme="minorHAnsi" w:hAnsiTheme="minorHAnsi" w:cstheme="minorHAnsi"/>
          <w:color w:val="000000"/>
          <w:szCs w:val="22"/>
        </w:rPr>
        <w:t xml:space="preserve">. </w:t>
      </w:r>
      <w:r w:rsidRPr="006C14DF">
        <w:rPr>
          <w:rFonts w:asciiTheme="minorHAnsi" w:hAnsiTheme="minorHAnsi" w:cstheme="minorHAnsi"/>
          <w:szCs w:val="22"/>
        </w:rPr>
        <w:t>These institutions have clear mandates and play a critical role to improve access to justice, maintain security and strengthen oversight and the human rights protection framework of the country.</w:t>
      </w:r>
      <w:r>
        <w:rPr>
          <w:rFonts w:asciiTheme="minorHAnsi" w:hAnsiTheme="minorHAnsi" w:cstheme="minorHAnsi"/>
          <w:szCs w:val="22"/>
        </w:rPr>
        <w:t xml:space="preserve"> The partnerships have continued to grow throughout 2017 and while UNDP Rule of Law Team supports partners</w:t>
      </w:r>
      <w:r w:rsidR="00587B7B">
        <w:rPr>
          <w:rFonts w:asciiTheme="minorHAnsi" w:hAnsiTheme="minorHAnsi" w:cstheme="minorHAnsi"/>
          <w:szCs w:val="22"/>
        </w:rPr>
        <w:t>, these t</w:t>
      </w:r>
      <w:r>
        <w:rPr>
          <w:rFonts w:asciiTheme="minorHAnsi" w:hAnsiTheme="minorHAnsi" w:cstheme="minorHAnsi"/>
          <w:szCs w:val="22"/>
        </w:rPr>
        <w:t xml:space="preserve">ake the lead in identifying their needs and priorities </w:t>
      </w:r>
      <w:r w:rsidR="00587B7B">
        <w:rPr>
          <w:rFonts w:asciiTheme="minorHAnsi" w:hAnsiTheme="minorHAnsi" w:cstheme="minorHAnsi"/>
          <w:szCs w:val="22"/>
        </w:rPr>
        <w:t xml:space="preserve">and which areas need UNDP support. </w:t>
      </w:r>
      <w:r w:rsidR="0004536C">
        <w:rPr>
          <w:rFonts w:asciiTheme="minorHAnsi" w:hAnsiTheme="minorHAnsi" w:cstheme="minorHAnsi"/>
          <w:szCs w:val="22"/>
        </w:rPr>
        <w:t>UNDP has in 2018 equally supported Sierra Leone institutions in forging partnerships with private sector (Lexus Nexus) as well as Academia and the Canadian Correctional Service that all are interested in supporting key interventions led by the institutions (law and jurisprudence upload, enhancing professionalism of the Judicial and Legal Training Institute and training future managers of the Sierra Leone Correctional Service).</w:t>
      </w:r>
    </w:p>
    <w:p w14:paraId="729D050B" w14:textId="77777777" w:rsidR="0004536C" w:rsidRPr="006C14DF" w:rsidRDefault="0004536C" w:rsidP="00D80D97">
      <w:pPr>
        <w:pStyle w:val="BodyText"/>
        <w:jc w:val="both"/>
        <w:rPr>
          <w:rFonts w:asciiTheme="minorHAnsi" w:hAnsiTheme="minorHAnsi" w:cstheme="minorHAnsi"/>
          <w:color w:val="000000"/>
          <w:szCs w:val="22"/>
        </w:rPr>
      </w:pPr>
    </w:p>
    <w:p w14:paraId="3BA99D44" w14:textId="77777777" w:rsidR="0022405F" w:rsidRDefault="0022405F" w:rsidP="00DC5213">
      <w:pPr>
        <w:pStyle w:val="Heading1"/>
      </w:pPr>
      <w:bookmarkStart w:id="17" w:name="_Toc503736520"/>
      <w:r>
        <w:t>Innovative Initiatives</w:t>
      </w:r>
      <w:bookmarkEnd w:id="17"/>
    </w:p>
    <w:p w14:paraId="7502FC50" w14:textId="678A9503" w:rsidR="00DC5213" w:rsidRDefault="00BB00BA" w:rsidP="00DC5213">
      <w:pPr>
        <w:spacing w:after="160" w:line="259" w:lineRule="auto"/>
        <w:jc w:val="both"/>
      </w:pPr>
      <w:r>
        <w:t xml:space="preserve">As an innovative approach to </w:t>
      </w:r>
      <w:r w:rsidR="00DC0C3C">
        <w:t xml:space="preserve">administration, the MOJ with support from UNDP has developed an electronic Content Management System (CMS) for the entire ministry to support in the assignment of tasks to its extremely significant staff. The CMS would enable the senior management within the ministry to initiate tasks and monitor progress and completion. The system will also enable senior management to coach, mentor and develop </w:t>
      </w:r>
      <w:r w:rsidR="0067469A">
        <w:t>the capacity of staff through the process. The tool is also praised as an enabler to help address the perennial challenge of staff ineffectiveness, tardiness at work and absenteeism. The tool when completed would further support the MOJ in collaborating with other ministries on legal issues in a harmonized and systematic manner</w:t>
      </w:r>
      <w:r w:rsidR="00DC5213">
        <w:t xml:space="preserve">. </w:t>
      </w:r>
    </w:p>
    <w:p w14:paraId="0E967543" w14:textId="77777777" w:rsidR="007D2912" w:rsidRDefault="00F776E6" w:rsidP="009924BE">
      <w:pPr>
        <w:pStyle w:val="Heading1"/>
      </w:pPr>
      <w:bookmarkStart w:id="18" w:name="_Toc503736521"/>
      <w:r>
        <w:t xml:space="preserve">Challenges </w:t>
      </w:r>
      <w:r w:rsidR="00C91185">
        <w:t>Lessons learned</w:t>
      </w:r>
      <w:r w:rsidR="007D2912">
        <w:t xml:space="preserve"> and Recommendations</w:t>
      </w:r>
      <w:bookmarkEnd w:id="18"/>
    </w:p>
    <w:p w14:paraId="3D1D49E8" w14:textId="77777777" w:rsidR="00612A30" w:rsidRDefault="00612A30" w:rsidP="00612A30">
      <w:pPr>
        <w:jc w:val="both"/>
      </w:pPr>
      <w:r>
        <w:t>The projects have not had faced major challenges this year, except for</w:t>
      </w:r>
      <w:r w:rsidR="00EC7FEE">
        <w:t xml:space="preserve"> continued</w:t>
      </w:r>
      <w:r>
        <w:t xml:space="preserve"> funding constraints </w:t>
      </w:r>
      <w:r w:rsidR="00EC7FEE">
        <w:t xml:space="preserve">which has affected the full achievement of targets and activity results designed in the Rule of Law umbrella project. This has been mitigated by the </w:t>
      </w:r>
      <w:r>
        <w:t xml:space="preserve">Rule of Law Team </w:t>
      </w:r>
      <w:r w:rsidR="00EC7FEE">
        <w:t xml:space="preserve">by prioritizing with implementing partners the most crucial activities as well as lobbying donors for additional funding for the projects. </w:t>
      </w:r>
      <w:r w:rsidR="00BA7772">
        <w:t xml:space="preserve">Presently, the UNDP has submitted a full project proposal as per donor request. </w:t>
      </w:r>
    </w:p>
    <w:p w14:paraId="27A91676" w14:textId="77777777" w:rsidR="00612A30" w:rsidRDefault="00EC7FEE" w:rsidP="00612A30">
      <w:pPr>
        <w:jc w:val="both"/>
      </w:pPr>
      <w:r>
        <w:t xml:space="preserve">Implementing partners are still submitting progress reports with delays, which has impacted implementation and delivery, as UNDP has not been able to disburse funds in line with the initial planned Annual Work Plans (AWPs) for some institutions. The project team will address this issue in early 2018 through consultation with senior management of the concerned institutions </w:t>
      </w:r>
      <w:proofErr w:type="gramStart"/>
      <w:r>
        <w:t>and also</w:t>
      </w:r>
      <w:proofErr w:type="gramEnd"/>
      <w:r>
        <w:t xml:space="preserve"> by providing further monitoring and training. The recruitment of a national Rule of Law Officer – with reporting, monitoring and evaluation skills will hence also be prioritized in the first quarter of 2018 as this was a vital </w:t>
      </w:r>
      <w:r>
        <w:lastRenderedPageBreak/>
        <w:t xml:space="preserve">recommendation, to improve reporting, monitoring and evaluation, of the earlier evaluations that also shaped the new project interventions. </w:t>
      </w:r>
    </w:p>
    <w:p w14:paraId="1CCF63CB" w14:textId="44B8D1B3" w:rsidR="00612A30" w:rsidRDefault="00EC7FEE" w:rsidP="00612A30">
      <w:pPr>
        <w:jc w:val="both"/>
      </w:pPr>
      <w:r>
        <w:t>Finally, t</w:t>
      </w:r>
      <w:r w:rsidR="00612A30">
        <w:t>he</w:t>
      </w:r>
      <w:r>
        <w:t xml:space="preserve"> projects have faced some challenges in recruitment of required expertise, but this has been mitigated through re-advertisements of terms of reference and sourcing expertise from the UNDP roster. </w:t>
      </w:r>
    </w:p>
    <w:p w14:paraId="5B341BB1" w14:textId="77777777" w:rsidR="00612A30" w:rsidRPr="00C91185" w:rsidRDefault="00612A30">
      <w:pPr>
        <w:rPr>
          <w:i/>
          <w:color w:val="365F91" w:themeColor="accent1" w:themeShade="BF"/>
          <w:sz w:val="24"/>
        </w:rPr>
      </w:pPr>
    </w:p>
    <w:p w14:paraId="791730EF" w14:textId="77777777" w:rsidR="007700CB" w:rsidRDefault="007700CB" w:rsidP="00C91185">
      <w:pPr>
        <w:pStyle w:val="Title"/>
        <w:numPr>
          <w:ilvl w:val="0"/>
          <w:numId w:val="0"/>
        </w:numPr>
        <w:ind w:left="502" w:hanging="360"/>
      </w:pPr>
    </w:p>
    <w:p w14:paraId="09BD46A6" w14:textId="77777777" w:rsidR="00C91185" w:rsidRDefault="00C91185" w:rsidP="00C91185"/>
    <w:p w14:paraId="3D4C11AA" w14:textId="77777777" w:rsidR="003A3227" w:rsidRDefault="003A3227">
      <w:pPr>
        <w:rPr>
          <w:rFonts w:eastAsiaTheme="majorEastAsia"/>
          <w:b/>
          <w:bCs/>
          <w:color w:val="365F91" w:themeColor="accent1" w:themeShade="BF"/>
          <w:sz w:val="36"/>
          <w:szCs w:val="36"/>
        </w:rPr>
      </w:pPr>
      <w:bookmarkStart w:id="19" w:name="_Toc401569393"/>
      <w:r>
        <w:br w:type="page"/>
      </w:r>
    </w:p>
    <w:p w14:paraId="2A4E8BEA" w14:textId="31E4D2B1" w:rsidR="008F1B2D" w:rsidRPr="0002157C" w:rsidRDefault="005D4525" w:rsidP="009924BE">
      <w:pPr>
        <w:pStyle w:val="Heading1"/>
      </w:pPr>
      <w:bookmarkStart w:id="20" w:name="_Toc503736522"/>
      <w:r w:rsidRPr="0002157C">
        <w:lastRenderedPageBreak/>
        <w:t>Financial</w:t>
      </w:r>
      <w:r w:rsidR="00CD4E10" w:rsidRPr="0002157C">
        <w:t xml:space="preserve"> </w:t>
      </w:r>
      <w:r w:rsidR="0002157C" w:rsidRPr="0002157C">
        <w:t>report</w:t>
      </w:r>
      <w:r w:rsidR="004849AC">
        <w:t xml:space="preserve"> 201</w:t>
      </w:r>
      <w:bookmarkEnd w:id="19"/>
      <w:r w:rsidR="0067469A">
        <w:t>8</w:t>
      </w:r>
      <w:r w:rsidR="00AD5B6C">
        <w:rPr>
          <w:rStyle w:val="FootnoteReference"/>
        </w:rPr>
        <w:footnoteReference w:id="2"/>
      </w:r>
      <w:bookmarkEnd w:id="20"/>
    </w:p>
    <w:p w14:paraId="225A4BBA" w14:textId="77777777" w:rsidR="00503EF5" w:rsidRDefault="00503EF5" w:rsidP="00503EF5">
      <w:pPr>
        <w:jc w:val="center"/>
        <w:rPr>
          <w:rFonts w:ascii="Corbel" w:hAnsi="Corbel"/>
          <w:i/>
          <w:color w:val="A6A6A6"/>
          <w:sz w:val="20"/>
        </w:rPr>
      </w:pPr>
      <w:r>
        <w:rPr>
          <w:b/>
          <w:bCs/>
          <w:sz w:val="28"/>
          <w:szCs w:val="28"/>
          <w:u w:val="single"/>
        </w:rPr>
        <w:t>Ta</w:t>
      </w:r>
      <w:r w:rsidR="004414BC">
        <w:rPr>
          <w:b/>
          <w:bCs/>
          <w:sz w:val="28"/>
          <w:szCs w:val="28"/>
          <w:u w:val="single"/>
        </w:rPr>
        <w:t>ble 1</w:t>
      </w:r>
      <w:r>
        <w:rPr>
          <w:b/>
          <w:bCs/>
          <w:sz w:val="28"/>
          <w:szCs w:val="28"/>
          <w:u w:val="single"/>
        </w:rPr>
        <w:t>: Overview of available resources for the project duration</w:t>
      </w:r>
    </w:p>
    <w:p w14:paraId="7D17EF7D" w14:textId="77777777" w:rsidR="00503EF5" w:rsidRPr="00D84046" w:rsidRDefault="00503EF5" w:rsidP="00503EF5">
      <w:pPr>
        <w:spacing w:after="0"/>
        <w:rPr>
          <w:b/>
          <w:bCs/>
          <w:sz w:val="28"/>
          <w:szCs w:val="28"/>
          <w:u w:val="single"/>
        </w:rPr>
      </w:pPr>
      <w:r w:rsidRPr="00D84046">
        <w:rPr>
          <w:b/>
          <w:bCs/>
          <w:sz w:val="28"/>
          <w:szCs w:val="28"/>
          <w:u w:val="single"/>
        </w:rPr>
        <w:t>Rule of Law</w:t>
      </w:r>
    </w:p>
    <w:tbl>
      <w:tblPr>
        <w:tblW w:w="10620" w:type="dxa"/>
        <w:tblInd w:w="-280" w:type="dxa"/>
        <w:tblLook w:val="04A0" w:firstRow="1" w:lastRow="0" w:firstColumn="1" w:lastColumn="0" w:noHBand="0" w:noVBand="1"/>
      </w:tblPr>
      <w:tblGrid>
        <w:gridCol w:w="2070"/>
        <w:gridCol w:w="1530"/>
        <w:gridCol w:w="1350"/>
        <w:gridCol w:w="1350"/>
        <w:gridCol w:w="1440"/>
        <w:gridCol w:w="1530"/>
        <w:gridCol w:w="1350"/>
      </w:tblGrid>
      <w:tr w:rsidR="007C7D02" w:rsidRPr="007C7D02" w14:paraId="3FB44B3C" w14:textId="77777777" w:rsidTr="007C7D02">
        <w:trPr>
          <w:trHeight w:val="610"/>
        </w:trPr>
        <w:tc>
          <w:tcPr>
            <w:tcW w:w="207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2D5F9961"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Donor</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478BDC81"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Contribution</w:t>
            </w:r>
          </w:p>
        </w:tc>
        <w:tc>
          <w:tcPr>
            <w:tcW w:w="4140" w:type="dxa"/>
            <w:gridSpan w:val="3"/>
            <w:tcBorders>
              <w:top w:val="single" w:sz="8" w:space="0" w:color="auto"/>
              <w:left w:val="nil"/>
              <w:bottom w:val="single" w:sz="8" w:space="0" w:color="auto"/>
              <w:right w:val="single" w:sz="8" w:space="0" w:color="000000"/>
            </w:tcBorders>
            <w:shd w:val="clear" w:color="000000" w:fill="C4BC96"/>
            <w:vAlign w:val="center"/>
            <w:hideMark/>
          </w:tcPr>
          <w:p w14:paraId="5B971887"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Expenses</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4E94E0D0"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Total expenses</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4081695F"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Balance</w:t>
            </w:r>
          </w:p>
        </w:tc>
      </w:tr>
      <w:tr w:rsidR="007C7D02" w:rsidRPr="007C7D02" w14:paraId="38929B73" w14:textId="77777777" w:rsidTr="007C7D02">
        <w:trPr>
          <w:trHeight w:val="320"/>
        </w:trPr>
        <w:tc>
          <w:tcPr>
            <w:tcW w:w="2070" w:type="dxa"/>
            <w:vMerge/>
            <w:tcBorders>
              <w:top w:val="single" w:sz="8" w:space="0" w:color="auto"/>
              <w:left w:val="single" w:sz="8" w:space="0" w:color="auto"/>
              <w:bottom w:val="single" w:sz="8" w:space="0" w:color="000000"/>
              <w:right w:val="single" w:sz="8" w:space="0" w:color="auto"/>
            </w:tcBorders>
            <w:vAlign w:val="center"/>
            <w:hideMark/>
          </w:tcPr>
          <w:p w14:paraId="02B721F4"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69E495C"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350" w:type="dxa"/>
            <w:tcBorders>
              <w:top w:val="nil"/>
              <w:left w:val="nil"/>
              <w:bottom w:val="single" w:sz="8" w:space="0" w:color="auto"/>
              <w:right w:val="single" w:sz="8" w:space="0" w:color="auto"/>
            </w:tcBorders>
            <w:shd w:val="clear" w:color="000000" w:fill="C4BC96"/>
            <w:vAlign w:val="center"/>
            <w:hideMark/>
          </w:tcPr>
          <w:p w14:paraId="41711F59"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Year 2017</w:t>
            </w:r>
          </w:p>
        </w:tc>
        <w:tc>
          <w:tcPr>
            <w:tcW w:w="1350" w:type="dxa"/>
            <w:tcBorders>
              <w:top w:val="nil"/>
              <w:left w:val="nil"/>
              <w:bottom w:val="single" w:sz="8" w:space="0" w:color="auto"/>
              <w:right w:val="single" w:sz="8" w:space="0" w:color="auto"/>
            </w:tcBorders>
            <w:shd w:val="clear" w:color="000000" w:fill="C4BC96"/>
            <w:vAlign w:val="center"/>
            <w:hideMark/>
          </w:tcPr>
          <w:p w14:paraId="2BCC6A68"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Year 2018</w:t>
            </w:r>
          </w:p>
        </w:tc>
        <w:tc>
          <w:tcPr>
            <w:tcW w:w="1440" w:type="dxa"/>
            <w:tcBorders>
              <w:top w:val="nil"/>
              <w:left w:val="nil"/>
              <w:bottom w:val="single" w:sz="8" w:space="0" w:color="auto"/>
              <w:right w:val="single" w:sz="8" w:space="0" w:color="auto"/>
            </w:tcBorders>
            <w:shd w:val="clear" w:color="000000" w:fill="C4BC96"/>
            <w:vAlign w:val="center"/>
            <w:hideMark/>
          </w:tcPr>
          <w:p w14:paraId="5C1ADFC9"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Year 2019</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E081137"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68933BC" w14:textId="77777777" w:rsidR="007C7D02" w:rsidRPr="007C7D02" w:rsidRDefault="007C7D02" w:rsidP="007C7D02">
            <w:pPr>
              <w:spacing w:after="0" w:line="240" w:lineRule="auto"/>
              <w:rPr>
                <w:rFonts w:ascii="Calibri" w:eastAsia="Times New Roman" w:hAnsi="Calibri" w:cs="Calibri"/>
                <w:b/>
                <w:bCs/>
                <w:color w:val="000000"/>
                <w:sz w:val="24"/>
                <w:szCs w:val="24"/>
              </w:rPr>
            </w:pPr>
          </w:p>
        </w:tc>
      </w:tr>
      <w:tr w:rsidR="007C7D02" w:rsidRPr="007C7D02" w14:paraId="24C582D3" w14:textId="77777777" w:rsidTr="007C7D02">
        <w:trPr>
          <w:trHeight w:val="403"/>
        </w:trPr>
        <w:tc>
          <w:tcPr>
            <w:tcW w:w="2070" w:type="dxa"/>
            <w:tcBorders>
              <w:top w:val="nil"/>
              <w:left w:val="single" w:sz="8" w:space="0" w:color="auto"/>
              <w:bottom w:val="single" w:sz="8" w:space="0" w:color="auto"/>
              <w:right w:val="single" w:sz="8" w:space="0" w:color="auto"/>
            </w:tcBorders>
            <w:shd w:val="clear" w:color="auto" w:fill="auto"/>
            <w:vAlign w:val="center"/>
            <w:hideMark/>
          </w:tcPr>
          <w:p w14:paraId="6B6250AF" w14:textId="77777777" w:rsidR="007C7D02" w:rsidRPr="007C7D02" w:rsidRDefault="007C7D02" w:rsidP="007C7D02">
            <w:pPr>
              <w:spacing w:after="0" w:line="240" w:lineRule="auto"/>
              <w:jc w:val="both"/>
              <w:rPr>
                <w:rFonts w:ascii="Calibri" w:eastAsia="Times New Roman" w:hAnsi="Calibri" w:cs="Calibri"/>
                <w:color w:val="000000"/>
                <w:sz w:val="24"/>
                <w:szCs w:val="24"/>
              </w:rPr>
            </w:pPr>
            <w:r w:rsidRPr="007C7D02">
              <w:rPr>
                <w:rFonts w:ascii="Calibri" w:eastAsia="Times New Roman" w:hAnsi="Calibri" w:cs="Calibri"/>
                <w:color w:val="000000"/>
                <w:sz w:val="24"/>
                <w:szCs w:val="24"/>
              </w:rPr>
              <w:t>UNDP</w:t>
            </w:r>
          </w:p>
        </w:tc>
        <w:tc>
          <w:tcPr>
            <w:tcW w:w="1530" w:type="dxa"/>
            <w:tcBorders>
              <w:top w:val="nil"/>
              <w:left w:val="nil"/>
              <w:bottom w:val="single" w:sz="8" w:space="0" w:color="auto"/>
              <w:right w:val="single" w:sz="8" w:space="0" w:color="auto"/>
            </w:tcBorders>
            <w:shd w:val="clear" w:color="auto" w:fill="auto"/>
            <w:vAlign w:val="center"/>
            <w:hideMark/>
          </w:tcPr>
          <w:p w14:paraId="35BE3579"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1,186,005.00 </w:t>
            </w:r>
          </w:p>
        </w:tc>
        <w:tc>
          <w:tcPr>
            <w:tcW w:w="1350" w:type="dxa"/>
            <w:tcBorders>
              <w:top w:val="nil"/>
              <w:left w:val="nil"/>
              <w:bottom w:val="single" w:sz="8" w:space="0" w:color="auto"/>
              <w:right w:val="single" w:sz="8" w:space="0" w:color="auto"/>
            </w:tcBorders>
            <w:shd w:val="clear" w:color="auto" w:fill="auto"/>
            <w:vAlign w:val="center"/>
            <w:hideMark/>
          </w:tcPr>
          <w:p w14:paraId="5D162C03"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591,928.84 </w:t>
            </w:r>
          </w:p>
        </w:tc>
        <w:tc>
          <w:tcPr>
            <w:tcW w:w="1350" w:type="dxa"/>
            <w:tcBorders>
              <w:top w:val="nil"/>
              <w:left w:val="nil"/>
              <w:bottom w:val="single" w:sz="8" w:space="0" w:color="auto"/>
              <w:right w:val="single" w:sz="8" w:space="0" w:color="auto"/>
            </w:tcBorders>
            <w:shd w:val="clear" w:color="auto" w:fill="auto"/>
            <w:vAlign w:val="center"/>
            <w:hideMark/>
          </w:tcPr>
          <w:p w14:paraId="36A34CC0"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486,781.22 </w:t>
            </w:r>
          </w:p>
        </w:tc>
        <w:tc>
          <w:tcPr>
            <w:tcW w:w="1440" w:type="dxa"/>
            <w:tcBorders>
              <w:top w:val="nil"/>
              <w:left w:val="nil"/>
              <w:bottom w:val="single" w:sz="8" w:space="0" w:color="auto"/>
              <w:right w:val="single" w:sz="8" w:space="0" w:color="auto"/>
            </w:tcBorders>
            <w:shd w:val="clear" w:color="auto" w:fill="auto"/>
            <w:vAlign w:val="center"/>
            <w:hideMark/>
          </w:tcPr>
          <w:p w14:paraId="31C43D8A"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530" w:type="dxa"/>
            <w:tcBorders>
              <w:top w:val="nil"/>
              <w:left w:val="nil"/>
              <w:bottom w:val="single" w:sz="8" w:space="0" w:color="auto"/>
              <w:right w:val="single" w:sz="8" w:space="0" w:color="auto"/>
            </w:tcBorders>
            <w:shd w:val="clear" w:color="000000" w:fill="DDD9C3"/>
            <w:vAlign w:val="center"/>
            <w:hideMark/>
          </w:tcPr>
          <w:p w14:paraId="50799E2A"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1,078,710.06 </w:t>
            </w:r>
          </w:p>
        </w:tc>
        <w:tc>
          <w:tcPr>
            <w:tcW w:w="1350" w:type="dxa"/>
            <w:tcBorders>
              <w:top w:val="nil"/>
              <w:left w:val="nil"/>
              <w:bottom w:val="single" w:sz="8" w:space="0" w:color="auto"/>
              <w:right w:val="single" w:sz="8" w:space="0" w:color="auto"/>
            </w:tcBorders>
            <w:shd w:val="clear" w:color="auto" w:fill="auto"/>
            <w:vAlign w:val="center"/>
            <w:hideMark/>
          </w:tcPr>
          <w:p w14:paraId="64B59296"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107,294.94 </w:t>
            </w:r>
          </w:p>
        </w:tc>
      </w:tr>
      <w:tr w:rsidR="007C7D02" w:rsidRPr="007C7D02" w14:paraId="0508F76E" w14:textId="77777777" w:rsidTr="007C7D02">
        <w:trPr>
          <w:trHeight w:val="330"/>
        </w:trPr>
        <w:tc>
          <w:tcPr>
            <w:tcW w:w="2070" w:type="dxa"/>
            <w:tcBorders>
              <w:top w:val="nil"/>
              <w:left w:val="single" w:sz="8" w:space="0" w:color="auto"/>
              <w:bottom w:val="single" w:sz="8" w:space="0" w:color="auto"/>
              <w:right w:val="single" w:sz="8" w:space="0" w:color="auto"/>
            </w:tcBorders>
            <w:shd w:val="clear" w:color="auto" w:fill="auto"/>
            <w:vAlign w:val="center"/>
            <w:hideMark/>
          </w:tcPr>
          <w:p w14:paraId="48389592" w14:textId="77777777" w:rsidR="007C7D02" w:rsidRPr="007C7D02" w:rsidRDefault="007C7D02" w:rsidP="007C7D02">
            <w:pPr>
              <w:spacing w:after="0" w:line="240" w:lineRule="auto"/>
              <w:jc w:val="both"/>
              <w:rPr>
                <w:rFonts w:ascii="Calibri" w:eastAsia="Times New Roman" w:hAnsi="Calibri" w:cs="Calibri"/>
                <w:color w:val="000000"/>
                <w:sz w:val="24"/>
                <w:szCs w:val="24"/>
              </w:rPr>
            </w:pPr>
            <w:r w:rsidRPr="007C7D02">
              <w:rPr>
                <w:rFonts w:ascii="Calibri" w:eastAsia="Times New Roman" w:hAnsi="Calibri" w:cs="Calibri"/>
                <w:color w:val="000000"/>
                <w:sz w:val="24"/>
                <w:szCs w:val="24"/>
              </w:rPr>
              <w:t>US States Dept. (INL)</w:t>
            </w:r>
          </w:p>
        </w:tc>
        <w:tc>
          <w:tcPr>
            <w:tcW w:w="1530" w:type="dxa"/>
            <w:tcBorders>
              <w:top w:val="nil"/>
              <w:left w:val="nil"/>
              <w:bottom w:val="single" w:sz="8" w:space="0" w:color="auto"/>
              <w:right w:val="single" w:sz="8" w:space="0" w:color="auto"/>
            </w:tcBorders>
            <w:shd w:val="clear" w:color="auto" w:fill="auto"/>
            <w:vAlign w:val="center"/>
            <w:hideMark/>
          </w:tcPr>
          <w:p w14:paraId="3DCECF5E"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995,000.00 </w:t>
            </w:r>
          </w:p>
        </w:tc>
        <w:tc>
          <w:tcPr>
            <w:tcW w:w="1350" w:type="dxa"/>
            <w:tcBorders>
              <w:top w:val="nil"/>
              <w:left w:val="nil"/>
              <w:bottom w:val="single" w:sz="8" w:space="0" w:color="auto"/>
              <w:right w:val="single" w:sz="8" w:space="0" w:color="auto"/>
            </w:tcBorders>
            <w:shd w:val="clear" w:color="auto" w:fill="auto"/>
            <w:vAlign w:val="center"/>
            <w:hideMark/>
          </w:tcPr>
          <w:p w14:paraId="41F60E02"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   </w:t>
            </w:r>
          </w:p>
        </w:tc>
        <w:tc>
          <w:tcPr>
            <w:tcW w:w="1350" w:type="dxa"/>
            <w:tcBorders>
              <w:top w:val="nil"/>
              <w:left w:val="nil"/>
              <w:bottom w:val="single" w:sz="8" w:space="0" w:color="auto"/>
              <w:right w:val="single" w:sz="8" w:space="0" w:color="auto"/>
            </w:tcBorders>
            <w:shd w:val="clear" w:color="auto" w:fill="auto"/>
            <w:vAlign w:val="center"/>
            <w:hideMark/>
          </w:tcPr>
          <w:p w14:paraId="178439CC"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301,550.61 </w:t>
            </w:r>
          </w:p>
        </w:tc>
        <w:tc>
          <w:tcPr>
            <w:tcW w:w="1440" w:type="dxa"/>
            <w:tcBorders>
              <w:top w:val="nil"/>
              <w:left w:val="nil"/>
              <w:bottom w:val="single" w:sz="8" w:space="0" w:color="auto"/>
              <w:right w:val="single" w:sz="8" w:space="0" w:color="auto"/>
            </w:tcBorders>
            <w:shd w:val="clear" w:color="auto" w:fill="auto"/>
            <w:vAlign w:val="center"/>
            <w:hideMark/>
          </w:tcPr>
          <w:p w14:paraId="46A9FD22"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530" w:type="dxa"/>
            <w:tcBorders>
              <w:top w:val="nil"/>
              <w:left w:val="nil"/>
              <w:bottom w:val="single" w:sz="8" w:space="0" w:color="auto"/>
              <w:right w:val="single" w:sz="8" w:space="0" w:color="auto"/>
            </w:tcBorders>
            <w:shd w:val="clear" w:color="000000" w:fill="DDD9C3"/>
            <w:vAlign w:val="center"/>
            <w:hideMark/>
          </w:tcPr>
          <w:p w14:paraId="0260D9C5"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301,550.61 </w:t>
            </w:r>
          </w:p>
        </w:tc>
        <w:tc>
          <w:tcPr>
            <w:tcW w:w="1350" w:type="dxa"/>
            <w:tcBorders>
              <w:top w:val="nil"/>
              <w:left w:val="nil"/>
              <w:bottom w:val="single" w:sz="8" w:space="0" w:color="auto"/>
              <w:right w:val="single" w:sz="8" w:space="0" w:color="auto"/>
            </w:tcBorders>
            <w:shd w:val="clear" w:color="auto" w:fill="auto"/>
            <w:vAlign w:val="center"/>
            <w:hideMark/>
          </w:tcPr>
          <w:p w14:paraId="588F1AEE"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693,449.39 </w:t>
            </w:r>
          </w:p>
        </w:tc>
      </w:tr>
      <w:tr w:rsidR="007C7D02" w:rsidRPr="007C7D02" w14:paraId="10CDC96B" w14:textId="77777777" w:rsidTr="007C7D02">
        <w:trPr>
          <w:trHeight w:val="320"/>
        </w:trPr>
        <w:tc>
          <w:tcPr>
            <w:tcW w:w="2070" w:type="dxa"/>
            <w:tcBorders>
              <w:top w:val="nil"/>
              <w:left w:val="single" w:sz="8" w:space="0" w:color="auto"/>
              <w:bottom w:val="single" w:sz="8" w:space="0" w:color="auto"/>
              <w:right w:val="single" w:sz="8" w:space="0" w:color="auto"/>
            </w:tcBorders>
            <w:shd w:val="clear" w:color="000000" w:fill="DDD9C3"/>
            <w:vAlign w:val="center"/>
            <w:hideMark/>
          </w:tcPr>
          <w:p w14:paraId="4408EEB5"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TOTAL</w:t>
            </w:r>
          </w:p>
        </w:tc>
        <w:tc>
          <w:tcPr>
            <w:tcW w:w="1530" w:type="dxa"/>
            <w:tcBorders>
              <w:top w:val="nil"/>
              <w:left w:val="nil"/>
              <w:bottom w:val="single" w:sz="8" w:space="0" w:color="auto"/>
              <w:right w:val="single" w:sz="8" w:space="0" w:color="auto"/>
            </w:tcBorders>
            <w:shd w:val="clear" w:color="000000" w:fill="DDD9C3"/>
            <w:vAlign w:val="center"/>
            <w:hideMark/>
          </w:tcPr>
          <w:p w14:paraId="25BA74FD"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2,181,005.00 </w:t>
            </w:r>
          </w:p>
        </w:tc>
        <w:tc>
          <w:tcPr>
            <w:tcW w:w="1350" w:type="dxa"/>
            <w:tcBorders>
              <w:top w:val="nil"/>
              <w:left w:val="nil"/>
              <w:bottom w:val="single" w:sz="8" w:space="0" w:color="auto"/>
              <w:right w:val="single" w:sz="8" w:space="0" w:color="auto"/>
            </w:tcBorders>
            <w:shd w:val="clear" w:color="000000" w:fill="DDD9C3"/>
            <w:vAlign w:val="center"/>
            <w:hideMark/>
          </w:tcPr>
          <w:p w14:paraId="7D26E293"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591,928.84 </w:t>
            </w:r>
          </w:p>
        </w:tc>
        <w:tc>
          <w:tcPr>
            <w:tcW w:w="1350" w:type="dxa"/>
            <w:tcBorders>
              <w:top w:val="nil"/>
              <w:left w:val="nil"/>
              <w:bottom w:val="single" w:sz="8" w:space="0" w:color="auto"/>
              <w:right w:val="single" w:sz="8" w:space="0" w:color="auto"/>
            </w:tcBorders>
            <w:shd w:val="clear" w:color="000000" w:fill="DDD9C3"/>
            <w:vAlign w:val="center"/>
            <w:hideMark/>
          </w:tcPr>
          <w:p w14:paraId="57CF2B58"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788,331.83 </w:t>
            </w:r>
          </w:p>
        </w:tc>
        <w:tc>
          <w:tcPr>
            <w:tcW w:w="1440" w:type="dxa"/>
            <w:tcBorders>
              <w:top w:val="nil"/>
              <w:left w:val="nil"/>
              <w:bottom w:val="single" w:sz="8" w:space="0" w:color="auto"/>
              <w:right w:val="single" w:sz="8" w:space="0" w:color="auto"/>
            </w:tcBorders>
            <w:shd w:val="clear" w:color="000000" w:fill="DDD9C3"/>
            <w:vAlign w:val="center"/>
            <w:hideMark/>
          </w:tcPr>
          <w:p w14:paraId="41BEB83E"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   </w:t>
            </w:r>
          </w:p>
        </w:tc>
        <w:tc>
          <w:tcPr>
            <w:tcW w:w="1530" w:type="dxa"/>
            <w:tcBorders>
              <w:top w:val="nil"/>
              <w:left w:val="nil"/>
              <w:bottom w:val="single" w:sz="8" w:space="0" w:color="auto"/>
              <w:right w:val="single" w:sz="8" w:space="0" w:color="auto"/>
            </w:tcBorders>
            <w:shd w:val="clear" w:color="000000" w:fill="DDD9C3"/>
            <w:vAlign w:val="center"/>
            <w:hideMark/>
          </w:tcPr>
          <w:p w14:paraId="4CAF043B"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1,380,260.67 </w:t>
            </w:r>
          </w:p>
        </w:tc>
        <w:tc>
          <w:tcPr>
            <w:tcW w:w="1350" w:type="dxa"/>
            <w:tcBorders>
              <w:top w:val="nil"/>
              <w:left w:val="nil"/>
              <w:bottom w:val="single" w:sz="8" w:space="0" w:color="auto"/>
              <w:right w:val="single" w:sz="8" w:space="0" w:color="auto"/>
            </w:tcBorders>
            <w:shd w:val="clear" w:color="000000" w:fill="DDD9C3"/>
            <w:vAlign w:val="center"/>
            <w:hideMark/>
          </w:tcPr>
          <w:p w14:paraId="71421FE0" w14:textId="77777777" w:rsidR="007C7D02" w:rsidRPr="007C7D02" w:rsidRDefault="007C7D02" w:rsidP="007C7D02">
            <w:pPr>
              <w:spacing w:after="0" w:line="240" w:lineRule="auto"/>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800,744.33 </w:t>
            </w:r>
          </w:p>
        </w:tc>
      </w:tr>
    </w:tbl>
    <w:p w14:paraId="3EB81CBF" w14:textId="77777777" w:rsidR="00503EF5" w:rsidRDefault="00503EF5" w:rsidP="00503EF5">
      <w:pPr>
        <w:spacing w:after="0"/>
        <w:rPr>
          <w:b/>
          <w:bCs/>
          <w:sz w:val="28"/>
          <w:szCs w:val="28"/>
          <w:u w:val="single"/>
        </w:rPr>
      </w:pPr>
    </w:p>
    <w:p w14:paraId="452C1155" w14:textId="38C74648" w:rsidR="00503EF5" w:rsidRDefault="000B54E3" w:rsidP="00503EF5">
      <w:pPr>
        <w:spacing w:after="0"/>
        <w:rPr>
          <w:b/>
          <w:bCs/>
          <w:sz w:val="28"/>
          <w:szCs w:val="28"/>
          <w:u w:val="single"/>
        </w:rPr>
      </w:pPr>
      <w:r>
        <w:rPr>
          <w:b/>
          <w:bCs/>
          <w:sz w:val="28"/>
          <w:szCs w:val="28"/>
          <w:u w:val="single"/>
        </w:rPr>
        <w:t xml:space="preserve">INL – Correctional Service </w:t>
      </w:r>
    </w:p>
    <w:tbl>
      <w:tblPr>
        <w:tblW w:w="11070" w:type="dxa"/>
        <w:tblInd w:w="-280" w:type="dxa"/>
        <w:tblLook w:val="04A0" w:firstRow="1" w:lastRow="0" w:firstColumn="1" w:lastColumn="0" w:noHBand="0" w:noVBand="1"/>
      </w:tblPr>
      <w:tblGrid>
        <w:gridCol w:w="1334"/>
        <w:gridCol w:w="1529"/>
        <w:gridCol w:w="1243"/>
        <w:gridCol w:w="1349"/>
        <w:gridCol w:w="1349"/>
        <w:gridCol w:w="1243"/>
        <w:gridCol w:w="1502"/>
        <w:gridCol w:w="1521"/>
      </w:tblGrid>
      <w:tr w:rsidR="000822E7" w:rsidRPr="007C7D02" w14:paraId="51C96D76" w14:textId="77777777" w:rsidTr="000822E7">
        <w:trPr>
          <w:trHeight w:val="320"/>
        </w:trPr>
        <w:tc>
          <w:tcPr>
            <w:tcW w:w="1334"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EC54B0D"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Donor</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1DCFC94"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contribution </w:t>
            </w:r>
          </w:p>
        </w:tc>
        <w:tc>
          <w:tcPr>
            <w:tcW w:w="5184" w:type="dxa"/>
            <w:gridSpan w:val="4"/>
            <w:tcBorders>
              <w:top w:val="single" w:sz="8" w:space="0" w:color="auto"/>
              <w:left w:val="nil"/>
              <w:bottom w:val="single" w:sz="8" w:space="0" w:color="auto"/>
              <w:right w:val="single" w:sz="8" w:space="0" w:color="000000"/>
            </w:tcBorders>
            <w:shd w:val="clear" w:color="000000" w:fill="C4BC96"/>
            <w:vAlign w:val="center"/>
            <w:hideMark/>
          </w:tcPr>
          <w:p w14:paraId="05D27EDA"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Expenses </w:t>
            </w:r>
          </w:p>
        </w:tc>
        <w:tc>
          <w:tcPr>
            <w:tcW w:w="150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775936CD"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Total expenses </w:t>
            </w:r>
          </w:p>
        </w:tc>
        <w:tc>
          <w:tcPr>
            <w:tcW w:w="1521" w:type="dxa"/>
            <w:tcBorders>
              <w:top w:val="single" w:sz="8" w:space="0" w:color="auto"/>
              <w:left w:val="nil"/>
              <w:bottom w:val="nil"/>
              <w:right w:val="single" w:sz="8" w:space="0" w:color="auto"/>
            </w:tcBorders>
            <w:shd w:val="clear" w:color="000000" w:fill="C4BC96"/>
            <w:vAlign w:val="center"/>
            <w:hideMark/>
          </w:tcPr>
          <w:p w14:paraId="34984CDC"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Balance </w:t>
            </w:r>
          </w:p>
        </w:tc>
      </w:tr>
      <w:tr w:rsidR="007C7D02" w:rsidRPr="007C7D02" w14:paraId="0A1CECE2" w14:textId="77777777" w:rsidTr="000822E7">
        <w:trPr>
          <w:trHeight w:val="320"/>
        </w:trPr>
        <w:tc>
          <w:tcPr>
            <w:tcW w:w="1334" w:type="dxa"/>
            <w:vMerge/>
            <w:tcBorders>
              <w:top w:val="single" w:sz="8" w:space="0" w:color="auto"/>
              <w:left w:val="single" w:sz="8" w:space="0" w:color="auto"/>
              <w:bottom w:val="single" w:sz="8" w:space="0" w:color="000000"/>
              <w:right w:val="single" w:sz="8" w:space="0" w:color="auto"/>
            </w:tcBorders>
            <w:vAlign w:val="center"/>
            <w:hideMark/>
          </w:tcPr>
          <w:p w14:paraId="37792408"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D680A6B"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243" w:type="dxa"/>
            <w:tcBorders>
              <w:top w:val="nil"/>
              <w:left w:val="nil"/>
              <w:bottom w:val="single" w:sz="8" w:space="0" w:color="auto"/>
              <w:right w:val="single" w:sz="8" w:space="0" w:color="auto"/>
            </w:tcBorders>
            <w:shd w:val="clear" w:color="000000" w:fill="C4BC96"/>
            <w:vAlign w:val="center"/>
            <w:hideMark/>
          </w:tcPr>
          <w:p w14:paraId="5B647799"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2016 </w:t>
            </w:r>
          </w:p>
        </w:tc>
        <w:tc>
          <w:tcPr>
            <w:tcW w:w="1349" w:type="dxa"/>
            <w:tcBorders>
              <w:top w:val="nil"/>
              <w:left w:val="nil"/>
              <w:bottom w:val="single" w:sz="8" w:space="0" w:color="auto"/>
              <w:right w:val="single" w:sz="8" w:space="0" w:color="auto"/>
            </w:tcBorders>
            <w:shd w:val="clear" w:color="000000" w:fill="C4BC96"/>
            <w:vAlign w:val="center"/>
            <w:hideMark/>
          </w:tcPr>
          <w:p w14:paraId="384D026C"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2017 </w:t>
            </w:r>
          </w:p>
        </w:tc>
        <w:tc>
          <w:tcPr>
            <w:tcW w:w="1349" w:type="dxa"/>
            <w:tcBorders>
              <w:top w:val="nil"/>
              <w:left w:val="nil"/>
              <w:bottom w:val="single" w:sz="8" w:space="0" w:color="auto"/>
              <w:right w:val="single" w:sz="8" w:space="0" w:color="auto"/>
            </w:tcBorders>
            <w:shd w:val="clear" w:color="000000" w:fill="C4BC96"/>
            <w:vAlign w:val="center"/>
            <w:hideMark/>
          </w:tcPr>
          <w:p w14:paraId="7D62BAE7"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2018 </w:t>
            </w:r>
          </w:p>
        </w:tc>
        <w:tc>
          <w:tcPr>
            <w:tcW w:w="1243" w:type="dxa"/>
            <w:tcBorders>
              <w:top w:val="nil"/>
              <w:left w:val="nil"/>
              <w:bottom w:val="single" w:sz="8" w:space="0" w:color="auto"/>
              <w:right w:val="single" w:sz="8" w:space="0" w:color="auto"/>
            </w:tcBorders>
            <w:shd w:val="clear" w:color="000000" w:fill="C4BC96"/>
            <w:vAlign w:val="center"/>
            <w:hideMark/>
          </w:tcPr>
          <w:p w14:paraId="4FA92FAC"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2019 </w:t>
            </w:r>
          </w:p>
        </w:tc>
        <w:tc>
          <w:tcPr>
            <w:tcW w:w="1502" w:type="dxa"/>
            <w:vMerge/>
            <w:tcBorders>
              <w:top w:val="single" w:sz="8" w:space="0" w:color="auto"/>
              <w:left w:val="single" w:sz="8" w:space="0" w:color="auto"/>
              <w:bottom w:val="single" w:sz="8" w:space="0" w:color="000000"/>
              <w:right w:val="single" w:sz="8" w:space="0" w:color="auto"/>
            </w:tcBorders>
            <w:vAlign w:val="center"/>
            <w:hideMark/>
          </w:tcPr>
          <w:p w14:paraId="2896A7C9"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521" w:type="dxa"/>
            <w:tcBorders>
              <w:top w:val="nil"/>
              <w:left w:val="nil"/>
              <w:bottom w:val="single" w:sz="8" w:space="0" w:color="auto"/>
              <w:right w:val="single" w:sz="8" w:space="0" w:color="auto"/>
            </w:tcBorders>
            <w:shd w:val="clear" w:color="000000" w:fill="C4BC96"/>
            <w:vAlign w:val="center"/>
            <w:hideMark/>
          </w:tcPr>
          <w:p w14:paraId="36AF9CBE"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w:t>
            </w:r>
          </w:p>
        </w:tc>
      </w:tr>
      <w:tr w:rsidR="007C7D02" w:rsidRPr="007C7D02" w14:paraId="740FB660" w14:textId="77777777" w:rsidTr="000822E7">
        <w:trPr>
          <w:trHeight w:val="320"/>
        </w:trPr>
        <w:tc>
          <w:tcPr>
            <w:tcW w:w="1334" w:type="dxa"/>
            <w:tcBorders>
              <w:top w:val="nil"/>
              <w:left w:val="single" w:sz="8" w:space="0" w:color="auto"/>
              <w:bottom w:val="single" w:sz="8" w:space="0" w:color="auto"/>
              <w:right w:val="single" w:sz="8" w:space="0" w:color="auto"/>
            </w:tcBorders>
            <w:shd w:val="clear" w:color="auto" w:fill="auto"/>
            <w:vAlign w:val="center"/>
            <w:hideMark/>
          </w:tcPr>
          <w:p w14:paraId="12B85500" w14:textId="77777777" w:rsidR="007C7D02" w:rsidRPr="007C7D02" w:rsidRDefault="007C7D02" w:rsidP="007C7D02">
            <w:pPr>
              <w:spacing w:after="0" w:line="240" w:lineRule="auto"/>
              <w:jc w:val="both"/>
              <w:rPr>
                <w:rFonts w:ascii="Calibri" w:eastAsia="Times New Roman" w:hAnsi="Calibri" w:cs="Calibri"/>
                <w:color w:val="000000"/>
                <w:sz w:val="24"/>
                <w:szCs w:val="24"/>
              </w:rPr>
            </w:pPr>
            <w:r w:rsidRPr="007C7D02">
              <w:rPr>
                <w:rFonts w:ascii="Calibri" w:eastAsia="Times New Roman" w:hAnsi="Calibri" w:cs="Calibri"/>
                <w:color w:val="000000"/>
                <w:sz w:val="24"/>
                <w:szCs w:val="24"/>
              </w:rPr>
              <w:t>UNDP</w:t>
            </w:r>
          </w:p>
        </w:tc>
        <w:tc>
          <w:tcPr>
            <w:tcW w:w="1529" w:type="dxa"/>
            <w:tcBorders>
              <w:top w:val="nil"/>
              <w:left w:val="nil"/>
              <w:bottom w:val="single" w:sz="8" w:space="0" w:color="auto"/>
              <w:right w:val="single" w:sz="8" w:space="0" w:color="auto"/>
            </w:tcBorders>
            <w:shd w:val="clear" w:color="auto" w:fill="auto"/>
            <w:vAlign w:val="center"/>
            <w:hideMark/>
          </w:tcPr>
          <w:p w14:paraId="44A18BA2"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464,741.00 </w:t>
            </w:r>
          </w:p>
        </w:tc>
        <w:tc>
          <w:tcPr>
            <w:tcW w:w="1243" w:type="dxa"/>
            <w:tcBorders>
              <w:top w:val="nil"/>
              <w:left w:val="nil"/>
              <w:bottom w:val="single" w:sz="8" w:space="0" w:color="auto"/>
              <w:right w:val="single" w:sz="8" w:space="0" w:color="auto"/>
            </w:tcBorders>
            <w:shd w:val="clear" w:color="auto" w:fill="auto"/>
            <w:vAlign w:val="center"/>
            <w:hideMark/>
          </w:tcPr>
          <w:p w14:paraId="0476AD42"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349" w:type="dxa"/>
            <w:tcBorders>
              <w:top w:val="nil"/>
              <w:left w:val="nil"/>
              <w:bottom w:val="single" w:sz="8" w:space="0" w:color="auto"/>
              <w:right w:val="single" w:sz="8" w:space="0" w:color="auto"/>
            </w:tcBorders>
            <w:shd w:val="clear" w:color="auto" w:fill="auto"/>
            <w:vAlign w:val="center"/>
            <w:hideMark/>
          </w:tcPr>
          <w:p w14:paraId="57E16390"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246,644.75 </w:t>
            </w:r>
          </w:p>
        </w:tc>
        <w:tc>
          <w:tcPr>
            <w:tcW w:w="1349" w:type="dxa"/>
            <w:tcBorders>
              <w:top w:val="nil"/>
              <w:left w:val="nil"/>
              <w:bottom w:val="single" w:sz="8" w:space="0" w:color="auto"/>
              <w:right w:val="single" w:sz="8" w:space="0" w:color="auto"/>
            </w:tcBorders>
            <w:shd w:val="clear" w:color="auto" w:fill="auto"/>
            <w:vAlign w:val="center"/>
            <w:hideMark/>
          </w:tcPr>
          <w:p w14:paraId="7CB57A0E"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216,305.72 </w:t>
            </w:r>
          </w:p>
        </w:tc>
        <w:tc>
          <w:tcPr>
            <w:tcW w:w="1243" w:type="dxa"/>
            <w:tcBorders>
              <w:top w:val="nil"/>
              <w:left w:val="nil"/>
              <w:bottom w:val="single" w:sz="8" w:space="0" w:color="auto"/>
              <w:right w:val="single" w:sz="8" w:space="0" w:color="auto"/>
            </w:tcBorders>
            <w:shd w:val="clear" w:color="auto" w:fill="auto"/>
            <w:vAlign w:val="center"/>
            <w:hideMark/>
          </w:tcPr>
          <w:p w14:paraId="591856C2"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502" w:type="dxa"/>
            <w:tcBorders>
              <w:top w:val="nil"/>
              <w:left w:val="nil"/>
              <w:bottom w:val="single" w:sz="8" w:space="0" w:color="auto"/>
              <w:right w:val="single" w:sz="8" w:space="0" w:color="auto"/>
            </w:tcBorders>
            <w:shd w:val="clear" w:color="000000" w:fill="DDD9C3"/>
            <w:vAlign w:val="center"/>
            <w:hideMark/>
          </w:tcPr>
          <w:p w14:paraId="15C52B11"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462,950.47 </w:t>
            </w:r>
          </w:p>
        </w:tc>
        <w:tc>
          <w:tcPr>
            <w:tcW w:w="1521" w:type="dxa"/>
            <w:tcBorders>
              <w:top w:val="nil"/>
              <w:left w:val="nil"/>
              <w:bottom w:val="single" w:sz="8" w:space="0" w:color="auto"/>
              <w:right w:val="single" w:sz="8" w:space="0" w:color="auto"/>
            </w:tcBorders>
            <w:shd w:val="clear" w:color="auto" w:fill="auto"/>
            <w:vAlign w:val="center"/>
            <w:hideMark/>
          </w:tcPr>
          <w:p w14:paraId="4811F5CE"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1,790.53 </w:t>
            </w:r>
          </w:p>
        </w:tc>
      </w:tr>
      <w:tr w:rsidR="007C7D02" w:rsidRPr="007C7D02" w14:paraId="6432CDE8" w14:textId="77777777" w:rsidTr="000822E7">
        <w:trPr>
          <w:trHeight w:val="370"/>
        </w:trPr>
        <w:tc>
          <w:tcPr>
            <w:tcW w:w="1334" w:type="dxa"/>
            <w:tcBorders>
              <w:top w:val="nil"/>
              <w:left w:val="single" w:sz="8" w:space="0" w:color="auto"/>
              <w:bottom w:val="single" w:sz="8" w:space="0" w:color="auto"/>
              <w:right w:val="single" w:sz="8" w:space="0" w:color="auto"/>
            </w:tcBorders>
            <w:shd w:val="clear" w:color="auto" w:fill="auto"/>
            <w:vAlign w:val="center"/>
            <w:hideMark/>
          </w:tcPr>
          <w:p w14:paraId="19D47936" w14:textId="77777777" w:rsidR="007C7D02" w:rsidRPr="007C7D02" w:rsidRDefault="007C7D02" w:rsidP="007C7D02">
            <w:pPr>
              <w:spacing w:after="0" w:line="240" w:lineRule="auto"/>
              <w:jc w:val="both"/>
              <w:rPr>
                <w:rFonts w:ascii="Calibri" w:eastAsia="Times New Roman" w:hAnsi="Calibri" w:cs="Calibri"/>
                <w:color w:val="000000"/>
                <w:sz w:val="24"/>
                <w:szCs w:val="24"/>
              </w:rPr>
            </w:pPr>
            <w:r w:rsidRPr="007C7D02">
              <w:rPr>
                <w:rFonts w:ascii="Calibri" w:eastAsia="Times New Roman" w:hAnsi="Calibri" w:cs="Calibri"/>
                <w:color w:val="000000"/>
                <w:sz w:val="24"/>
                <w:szCs w:val="24"/>
              </w:rPr>
              <w:t>US States Dept. (INL)</w:t>
            </w:r>
          </w:p>
        </w:tc>
        <w:tc>
          <w:tcPr>
            <w:tcW w:w="1529" w:type="dxa"/>
            <w:tcBorders>
              <w:top w:val="nil"/>
              <w:left w:val="nil"/>
              <w:bottom w:val="single" w:sz="8" w:space="0" w:color="auto"/>
              <w:right w:val="single" w:sz="8" w:space="0" w:color="auto"/>
            </w:tcBorders>
            <w:shd w:val="clear" w:color="auto" w:fill="auto"/>
            <w:vAlign w:val="center"/>
            <w:hideMark/>
          </w:tcPr>
          <w:p w14:paraId="073ADBAC"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1,080,000.00 </w:t>
            </w:r>
          </w:p>
        </w:tc>
        <w:tc>
          <w:tcPr>
            <w:tcW w:w="1243" w:type="dxa"/>
            <w:tcBorders>
              <w:top w:val="nil"/>
              <w:left w:val="nil"/>
              <w:bottom w:val="single" w:sz="8" w:space="0" w:color="auto"/>
              <w:right w:val="single" w:sz="8" w:space="0" w:color="auto"/>
            </w:tcBorders>
            <w:shd w:val="clear" w:color="auto" w:fill="auto"/>
            <w:vAlign w:val="center"/>
            <w:hideMark/>
          </w:tcPr>
          <w:p w14:paraId="7809FACC"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349" w:type="dxa"/>
            <w:tcBorders>
              <w:top w:val="nil"/>
              <w:left w:val="nil"/>
              <w:bottom w:val="single" w:sz="8" w:space="0" w:color="auto"/>
              <w:right w:val="single" w:sz="8" w:space="0" w:color="auto"/>
            </w:tcBorders>
            <w:shd w:val="clear" w:color="auto" w:fill="auto"/>
            <w:vAlign w:val="center"/>
            <w:hideMark/>
          </w:tcPr>
          <w:p w14:paraId="31E74F7C"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329,238.25 </w:t>
            </w:r>
          </w:p>
        </w:tc>
        <w:tc>
          <w:tcPr>
            <w:tcW w:w="1349" w:type="dxa"/>
            <w:tcBorders>
              <w:top w:val="nil"/>
              <w:left w:val="nil"/>
              <w:bottom w:val="single" w:sz="8" w:space="0" w:color="auto"/>
              <w:right w:val="single" w:sz="8" w:space="0" w:color="auto"/>
            </w:tcBorders>
            <w:shd w:val="clear" w:color="auto" w:fill="auto"/>
            <w:vAlign w:val="center"/>
            <w:hideMark/>
          </w:tcPr>
          <w:p w14:paraId="11E106C4"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611,690.43 </w:t>
            </w:r>
          </w:p>
        </w:tc>
        <w:tc>
          <w:tcPr>
            <w:tcW w:w="1243" w:type="dxa"/>
            <w:tcBorders>
              <w:top w:val="nil"/>
              <w:left w:val="nil"/>
              <w:bottom w:val="single" w:sz="8" w:space="0" w:color="auto"/>
              <w:right w:val="single" w:sz="8" w:space="0" w:color="auto"/>
            </w:tcBorders>
            <w:shd w:val="clear" w:color="auto" w:fill="auto"/>
            <w:vAlign w:val="center"/>
            <w:hideMark/>
          </w:tcPr>
          <w:p w14:paraId="00CD41F5"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502" w:type="dxa"/>
            <w:tcBorders>
              <w:top w:val="nil"/>
              <w:left w:val="nil"/>
              <w:bottom w:val="single" w:sz="8" w:space="0" w:color="auto"/>
              <w:right w:val="single" w:sz="8" w:space="0" w:color="auto"/>
            </w:tcBorders>
            <w:shd w:val="clear" w:color="000000" w:fill="DDD9C3"/>
            <w:vAlign w:val="center"/>
            <w:hideMark/>
          </w:tcPr>
          <w:p w14:paraId="5D6802AF"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940,928.68 </w:t>
            </w:r>
          </w:p>
        </w:tc>
        <w:tc>
          <w:tcPr>
            <w:tcW w:w="1521" w:type="dxa"/>
            <w:tcBorders>
              <w:top w:val="nil"/>
              <w:left w:val="nil"/>
              <w:bottom w:val="single" w:sz="8" w:space="0" w:color="auto"/>
              <w:right w:val="single" w:sz="8" w:space="0" w:color="auto"/>
            </w:tcBorders>
            <w:shd w:val="clear" w:color="auto" w:fill="auto"/>
            <w:vAlign w:val="center"/>
            <w:hideMark/>
          </w:tcPr>
          <w:p w14:paraId="7A3BD3A1"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139,071.32 </w:t>
            </w:r>
          </w:p>
        </w:tc>
      </w:tr>
      <w:tr w:rsidR="000822E7" w:rsidRPr="007C7D02" w14:paraId="58251519" w14:textId="77777777" w:rsidTr="000822E7">
        <w:trPr>
          <w:trHeight w:val="320"/>
        </w:trPr>
        <w:tc>
          <w:tcPr>
            <w:tcW w:w="1334" w:type="dxa"/>
            <w:tcBorders>
              <w:top w:val="nil"/>
              <w:left w:val="single" w:sz="8" w:space="0" w:color="auto"/>
              <w:bottom w:val="single" w:sz="8" w:space="0" w:color="auto"/>
              <w:right w:val="single" w:sz="8" w:space="0" w:color="auto"/>
            </w:tcBorders>
            <w:shd w:val="clear" w:color="000000" w:fill="DDD9C3"/>
            <w:vAlign w:val="center"/>
            <w:hideMark/>
          </w:tcPr>
          <w:p w14:paraId="0C123864"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TOTAL</w:t>
            </w:r>
          </w:p>
        </w:tc>
        <w:tc>
          <w:tcPr>
            <w:tcW w:w="1529" w:type="dxa"/>
            <w:tcBorders>
              <w:top w:val="nil"/>
              <w:left w:val="nil"/>
              <w:bottom w:val="single" w:sz="8" w:space="0" w:color="auto"/>
              <w:right w:val="single" w:sz="8" w:space="0" w:color="auto"/>
            </w:tcBorders>
            <w:shd w:val="clear" w:color="000000" w:fill="DDD9C3"/>
            <w:vAlign w:val="center"/>
            <w:hideMark/>
          </w:tcPr>
          <w:p w14:paraId="320A1884"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1,544,741.00 </w:t>
            </w:r>
          </w:p>
        </w:tc>
        <w:tc>
          <w:tcPr>
            <w:tcW w:w="1243" w:type="dxa"/>
            <w:tcBorders>
              <w:top w:val="nil"/>
              <w:left w:val="nil"/>
              <w:bottom w:val="single" w:sz="8" w:space="0" w:color="auto"/>
              <w:right w:val="single" w:sz="8" w:space="0" w:color="auto"/>
            </w:tcBorders>
            <w:shd w:val="clear" w:color="000000" w:fill="DDD9C3"/>
            <w:vAlign w:val="center"/>
            <w:hideMark/>
          </w:tcPr>
          <w:p w14:paraId="485B3EAB"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   </w:t>
            </w:r>
          </w:p>
        </w:tc>
        <w:tc>
          <w:tcPr>
            <w:tcW w:w="1349" w:type="dxa"/>
            <w:tcBorders>
              <w:top w:val="nil"/>
              <w:left w:val="nil"/>
              <w:bottom w:val="single" w:sz="8" w:space="0" w:color="auto"/>
              <w:right w:val="single" w:sz="8" w:space="0" w:color="auto"/>
            </w:tcBorders>
            <w:shd w:val="clear" w:color="000000" w:fill="DDD9C3"/>
            <w:vAlign w:val="center"/>
            <w:hideMark/>
          </w:tcPr>
          <w:p w14:paraId="6F80013B"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575,883.00 </w:t>
            </w:r>
          </w:p>
        </w:tc>
        <w:tc>
          <w:tcPr>
            <w:tcW w:w="1349" w:type="dxa"/>
            <w:tcBorders>
              <w:top w:val="nil"/>
              <w:left w:val="nil"/>
              <w:bottom w:val="single" w:sz="8" w:space="0" w:color="auto"/>
              <w:right w:val="single" w:sz="8" w:space="0" w:color="auto"/>
            </w:tcBorders>
            <w:shd w:val="clear" w:color="000000" w:fill="DDD9C3"/>
            <w:vAlign w:val="center"/>
            <w:hideMark/>
          </w:tcPr>
          <w:p w14:paraId="1CBC2FD8"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827,996.15 </w:t>
            </w:r>
          </w:p>
        </w:tc>
        <w:tc>
          <w:tcPr>
            <w:tcW w:w="1243" w:type="dxa"/>
            <w:tcBorders>
              <w:top w:val="nil"/>
              <w:left w:val="nil"/>
              <w:bottom w:val="single" w:sz="8" w:space="0" w:color="auto"/>
              <w:right w:val="single" w:sz="8" w:space="0" w:color="auto"/>
            </w:tcBorders>
            <w:shd w:val="clear" w:color="000000" w:fill="DDD9C3"/>
            <w:vAlign w:val="center"/>
            <w:hideMark/>
          </w:tcPr>
          <w:p w14:paraId="7A842B3C"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   </w:t>
            </w:r>
          </w:p>
        </w:tc>
        <w:tc>
          <w:tcPr>
            <w:tcW w:w="1502" w:type="dxa"/>
            <w:tcBorders>
              <w:top w:val="nil"/>
              <w:left w:val="nil"/>
              <w:bottom w:val="single" w:sz="8" w:space="0" w:color="auto"/>
              <w:right w:val="single" w:sz="8" w:space="0" w:color="auto"/>
            </w:tcBorders>
            <w:shd w:val="clear" w:color="000000" w:fill="DDD9C3"/>
            <w:vAlign w:val="center"/>
            <w:hideMark/>
          </w:tcPr>
          <w:p w14:paraId="3B7B9EB9"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1,403,879.15 </w:t>
            </w:r>
          </w:p>
        </w:tc>
        <w:tc>
          <w:tcPr>
            <w:tcW w:w="1521" w:type="dxa"/>
            <w:tcBorders>
              <w:top w:val="nil"/>
              <w:left w:val="nil"/>
              <w:bottom w:val="single" w:sz="8" w:space="0" w:color="auto"/>
              <w:right w:val="single" w:sz="8" w:space="0" w:color="auto"/>
            </w:tcBorders>
            <w:shd w:val="clear" w:color="000000" w:fill="DDD9C3"/>
            <w:vAlign w:val="center"/>
            <w:hideMark/>
          </w:tcPr>
          <w:p w14:paraId="1084F7DA"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140,861.85 </w:t>
            </w:r>
          </w:p>
        </w:tc>
      </w:tr>
    </w:tbl>
    <w:p w14:paraId="4FE00063" w14:textId="5F7BB3B3" w:rsidR="007C7D02" w:rsidRDefault="007C7D02" w:rsidP="00503EF5">
      <w:pPr>
        <w:spacing w:after="0"/>
        <w:rPr>
          <w:b/>
          <w:bCs/>
          <w:sz w:val="28"/>
          <w:szCs w:val="28"/>
          <w:u w:val="single"/>
        </w:rPr>
      </w:pPr>
    </w:p>
    <w:p w14:paraId="27A9BCC9" w14:textId="3319E2E8" w:rsidR="007C7D02" w:rsidRDefault="007C7D02" w:rsidP="00503EF5">
      <w:pPr>
        <w:spacing w:after="0"/>
        <w:rPr>
          <w:b/>
          <w:bCs/>
          <w:sz w:val="28"/>
          <w:szCs w:val="28"/>
          <w:u w:val="single"/>
        </w:rPr>
      </w:pPr>
      <w:r>
        <w:rPr>
          <w:b/>
          <w:bCs/>
          <w:sz w:val="28"/>
          <w:szCs w:val="28"/>
          <w:u w:val="single"/>
        </w:rPr>
        <w:t>Human Right Commission of Sierra Leone</w:t>
      </w:r>
    </w:p>
    <w:tbl>
      <w:tblPr>
        <w:tblW w:w="9810" w:type="dxa"/>
        <w:tblInd w:w="-280" w:type="dxa"/>
        <w:tblLook w:val="04A0" w:firstRow="1" w:lastRow="0" w:firstColumn="1" w:lastColumn="0" w:noHBand="0" w:noVBand="1"/>
      </w:tblPr>
      <w:tblGrid>
        <w:gridCol w:w="1529"/>
        <w:gridCol w:w="1460"/>
        <w:gridCol w:w="1331"/>
        <w:gridCol w:w="1260"/>
        <w:gridCol w:w="1440"/>
        <w:gridCol w:w="1530"/>
        <w:gridCol w:w="1260"/>
      </w:tblGrid>
      <w:tr w:rsidR="007C7D02" w:rsidRPr="007C7D02" w14:paraId="3B19329B" w14:textId="77777777" w:rsidTr="007C7D02">
        <w:trPr>
          <w:trHeight w:val="320"/>
        </w:trPr>
        <w:tc>
          <w:tcPr>
            <w:tcW w:w="1529"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B942BA0"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Donor</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E5A7F67"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contribution </w:t>
            </w:r>
          </w:p>
        </w:tc>
        <w:tc>
          <w:tcPr>
            <w:tcW w:w="4031" w:type="dxa"/>
            <w:gridSpan w:val="3"/>
            <w:tcBorders>
              <w:top w:val="single" w:sz="8" w:space="0" w:color="auto"/>
              <w:left w:val="nil"/>
              <w:bottom w:val="single" w:sz="8" w:space="0" w:color="auto"/>
              <w:right w:val="single" w:sz="8" w:space="0" w:color="000000"/>
            </w:tcBorders>
            <w:shd w:val="clear" w:color="000000" w:fill="C4BC96"/>
            <w:vAlign w:val="center"/>
            <w:hideMark/>
          </w:tcPr>
          <w:p w14:paraId="30D669EF"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Expenses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2CAAD5A9"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Total expenses </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0D37416" w14:textId="77777777" w:rsidR="007C7D02" w:rsidRPr="007C7D02" w:rsidRDefault="007C7D02" w:rsidP="007C7D02">
            <w:pPr>
              <w:spacing w:after="0" w:line="240" w:lineRule="auto"/>
              <w:jc w:val="center"/>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Balance </w:t>
            </w:r>
          </w:p>
        </w:tc>
      </w:tr>
      <w:tr w:rsidR="007C7D02" w:rsidRPr="007C7D02" w14:paraId="64CCA60D" w14:textId="77777777" w:rsidTr="007C7D02">
        <w:trPr>
          <w:trHeight w:val="320"/>
        </w:trPr>
        <w:tc>
          <w:tcPr>
            <w:tcW w:w="1529" w:type="dxa"/>
            <w:vMerge/>
            <w:tcBorders>
              <w:top w:val="single" w:sz="8" w:space="0" w:color="auto"/>
              <w:left w:val="single" w:sz="8" w:space="0" w:color="auto"/>
              <w:bottom w:val="single" w:sz="8" w:space="0" w:color="000000"/>
              <w:right w:val="single" w:sz="8" w:space="0" w:color="auto"/>
            </w:tcBorders>
            <w:vAlign w:val="center"/>
            <w:hideMark/>
          </w:tcPr>
          <w:p w14:paraId="50B72A24"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DD88C02"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331" w:type="dxa"/>
            <w:tcBorders>
              <w:top w:val="nil"/>
              <w:left w:val="nil"/>
              <w:bottom w:val="single" w:sz="8" w:space="0" w:color="auto"/>
              <w:right w:val="single" w:sz="8" w:space="0" w:color="auto"/>
            </w:tcBorders>
            <w:shd w:val="clear" w:color="000000" w:fill="C4BC96"/>
            <w:vAlign w:val="center"/>
            <w:hideMark/>
          </w:tcPr>
          <w:p w14:paraId="177FF5E8"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2016 </w:t>
            </w:r>
          </w:p>
        </w:tc>
        <w:tc>
          <w:tcPr>
            <w:tcW w:w="1260" w:type="dxa"/>
            <w:tcBorders>
              <w:top w:val="nil"/>
              <w:left w:val="nil"/>
              <w:bottom w:val="single" w:sz="8" w:space="0" w:color="auto"/>
              <w:right w:val="single" w:sz="8" w:space="0" w:color="auto"/>
            </w:tcBorders>
            <w:shd w:val="clear" w:color="000000" w:fill="C4BC96"/>
            <w:vAlign w:val="center"/>
            <w:hideMark/>
          </w:tcPr>
          <w:p w14:paraId="23097C35"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2017 </w:t>
            </w:r>
          </w:p>
        </w:tc>
        <w:tc>
          <w:tcPr>
            <w:tcW w:w="1440" w:type="dxa"/>
            <w:tcBorders>
              <w:top w:val="nil"/>
              <w:left w:val="nil"/>
              <w:bottom w:val="single" w:sz="8" w:space="0" w:color="auto"/>
              <w:right w:val="single" w:sz="8" w:space="0" w:color="auto"/>
            </w:tcBorders>
            <w:shd w:val="clear" w:color="000000" w:fill="C4BC96"/>
            <w:vAlign w:val="center"/>
            <w:hideMark/>
          </w:tcPr>
          <w:p w14:paraId="3DEEB633"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Year 2018 </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9D09E2B" w14:textId="77777777" w:rsidR="007C7D02" w:rsidRPr="007C7D02" w:rsidRDefault="007C7D02" w:rsidP="007C7D02">
            <w:pPr>
              <w:spacing w:after="0" w:line="240" w:lineRule="auto"/>
              <w:rPr>
                <w:rFonts w:ascii="Calibri" w:eastAsia="Times New Roman" w:hAnsi="Calibri" w:cs="Calibri"/>
                <w:b/>
                <w:bCs/>
                <w:color w:val="000000"/>
                <w:sz w:val="24"/>
                <w:szCs w:val="24"/>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35090B8" w14:textId="77777777" w:rsidR="007C7D02" w:rsidRPr="007C7D02" w:rsidRDefault="007C7D02" w:rsidP="007C7D02">
            <w:pPr>
              <w:spacing w:after="0" w:line="240" w:lineRule="auto"/>
              <w:rPr>
                <w:rFonts w:ascii="Calibri" w:eastAsia="Times New Roman" w:hAnsi="Calibri" w:cs="Calibri"/>
                <w:b/>
                <w:bCs/>
                <w:color w:val="000000"/>
                <w:sz w:val="24"/>
                <w:szCs w:val="24"/>
              </w:rPr>
            </w:pPr>
          </w:p>
        </w:tc>
      </w:tr>
      <w:tr w:rsidR="007C7D02" w:rsidRPr="007C7D02" w14:paraId="1E40FF8A" w14:textId="77777777" w:rsidTr="007C7D02">
        <w:trPr>
          <w:trHeight w:val="320"/>
        </w:trPr>
        <w:tc>
          <w:tcPr>
            <w:tcW w:w="1529" w:type="dxa"/>
            <w:tcBorders>
              <w:top w:val="nil"/>
              <w:left w:val="single" w:sz="8" w:space="0" w:color="auto"/>
              <w:bottom w:val="single" w:sz="8" w:space="0" w:color="auto"/>
              <w:right w:val="single" w:sz="8" w:space="0" w:color="auto"/>
            </w:tcBorders>
            <w:shd w:val="clear" w:color="auto" w:fill="auto"/>
            <w:vAlign w:val="center"/>
            <w:hideMark/>
          </w:tcPr>
          <w:p w14:paraId="1A0B3E4E" w14:textId="77777777" w:rsidR="007C7D02" w:rsidRPr="007C7D02" w:rsidRDefault="007C7D02" w:rsidP="007C7D02">
            <w:pPr>
              <w:spacing w:after="0" w:line="240" w:lineRule="auto"/>
              <w:jc w:val="both"/>
              <w:rPr>
                <w:rFonts w:ascii="Calibri" w:eastAsia="Times New Roman" w:hAnsi="Calibri" w:cs="Calibri"/>
                <w:color w:val="000000"/>
                <w:sz w:val="24"/>
                <w:szCs w:val="24"/>
              </w:rPr>
            </w:pPr>
            <w:r w:rsidRPr="007C7D02">
              <w:rPr>
                <w:rFonts w:ascii="Calibri" w:eastAsia="Times New Roman" w:hAnsi="Calibri" w:cs="Calibri"/>
                <w:color w:val="000000"/>
                <w:sz w:val="24"/>
                <w:szCs w:val="24"/>
              </w:rPr>
              <w:t>UNDP</w:t>
            </w:r>
          </w:p>
        </w:tc>
        <w:tc>
          <w:tcPr>
            <w:tcW w:w="1460" w:type="dxa"/>
            <w:tcBorders>
              <w:top w:val="nil"/>
              <w:left w:val="nil"/>
              <w:bottom w:val="single" w:sz="8" w:space="0" w:color="auto"/>
              <w:right w:val="single" w:sz="8" w:space="0" w:color="auto"/>
            </w:tcBorders>
            <w:shd w:val="clear" w:color="auto" w:fill="auto"/>
            <w:vAlign w:val="center"/>
            <w:hideMark/>
          </w:tcPr>
          <w:p w14:paraId="3C61FA4C"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90,416.00 </w:t>
            </w:r>
          </w:p>
        </w:tc>
        <w:tc>
          <w:tcPr>
            <w:tcW w:w="1331" w:type="dxa"/>
            <w:tcBorders>
              <w:top w:val="nil"/>
              <w:left w:val="nil"/>
              <w:bottom w:val="single" w:sz="8" w:space="0" w:color="auto"/>
              <w:right w:val="single" w:sz="8" w:space="0" w:color="auto"/>
            </w:tcBorders>
            <w:shd w:val="clear" w:color="auto" w:fill="auto"/>
            <w:vAlign w:val="center"/>
            <w:hideMark/>
          </w:tcPr>
          <w:p w14:paraId="15CC05C9"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14:paraId="4F06B122"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w:t>
            </w:r>
          </w:p>
        </w:tc>
        <w:tc>
          <w:tcPr>
            <w:tcW w:w="1440" w:type="dxa"/>
            <w:tcBorders>
              <w:top w:val="nil"/>
              <w:left w:val="nil"/>
              <w:bottom w:val="single" w:sz="8" w:space="0" w:color="auto"/>
              <w:right w:val="single" w:sz="8" w:space="0" w:color="auto"/>
            </w:tcBorders>
            <w:shd w:val="clear" w:color="auto" w:fill="auto"/>
            <w:vAlign w:val="center"/>
            <w:hideMark/>
          </w:tcPr>
          <w:p w14:paraId="4EC63945"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90,484.12 </w:t>
            </w:r>
          </w:p>
        </w:tc>
        <w:tc>
          <w:tcPr>
            <w:tcW w:w="1530" w:type="dxa"/>
            <w:tcBorders>
              <w:top w:val="nil"/>
              <w:left w:val="nil"/>
              <w:bottom w:val="single" w:sz="8" w:space="0" w:color="auto"/>
              <w:right w:val="single" w:sz="8" w:space="0" w:color="auto"/>
            </w:tcBorders>
            <w:shd w:val="clear" w:color="000000" w:fill="DDD9C3"/>
            <w:vAlign w:val="center"/>
            <w:hideMark/>
          </w:tcPr>
          <w:p w14:paraId="258FF6B1"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90,484.12 </w:t>
            </w:r>
          </w:p>
        </w:tc>
        <w:tc>
          <w:tcPr>
            <w:tcW w:w="1260" w:type="dxa"/>
            <w:tcBorders>
              <w:top w:val="nil"/>
              <w:left w:val="nil"/>
              <w:bottom w:val="single" w:sz="8" w:space="0" w:color="auto"/>
              <w:right w:val="single" w:sz="8" w:space="0" w:color="auto"/>
            </w:tcBorders>
            <w:shd w:val="clear" w:color="auto" w:fill="auto"/>
            <w:vAlign w:val="center"/>
            <w:hideMark/>
          </w:tcPr>
          <w:p w14:paraId="1EF7A9FD" w14:textId="77777777" w:rsidR="007C7D02" w:rsidRPr="007C7D02" w:rsidRDefault="007C7D02" w:rsidP="007C7D02">
            <w:pPr>
              <w:spacing w:after="0" w:line="240" w:lineRule="auto"/>
              <w:jc w:val="right"/>
              <w:rPr>
                <w:rFonts w:ascii="Calibri" w:eastAsia="Times New Roman" w:hAnsi="Calibri" w:cs="Calibri"/>
                <w:color w:val="000000"/>
                <w:sz w:val="24"/>
                <w:szCs w:val="24"/>
              </w:rPr>
            </w:pPr>
            <w:r w:rsidRPr="007C7D02">
              <w:rPr>
                <w:rFonts w:ascii="Calibri" w:eastAsia="Times New Roman" w:hAnsi="Calibri" w:cs="Calibri"/>
                <w:color w:val="000000"/>
                <w:sz w:val="24"/>
                <w:szCs w:val="24"/>
              </w:rPr>
              <w:t xml:space="preserve">               (68.12)</w:t>
            </w:r>
          </w:p>
        </w:tc>
      </w:tr>
      <w:tr w:rsidR="007C7D02" w:rsidRPr="007C7D02" w14:paraId="0FD35F1C" w14:textId="77777777" w:rsidTr="007C7D02">
        <w:trPr>
          <w:trHeight w:val="320"/>
        </w:trPr>
        <w:tc>
          <w:tcPr>
            <w:tcW w:w="1529" w:type="dxa"/>
            <w:tcBorders>
              <w:top w:val="nil"/>
              <w:left w:val="single" w:sz="8" w:space="0" w:color="auto"/>
              <w:bottom w:val="single" w:sz="8" w:space="0" w:color="auto"/>
              <w:right w:val="single" w:sz="8" w:space="0" w:color="auto"/>
            </w:tcBorders>
            <w:shd w:val="clear" w:color="000000" w:fill="DDD9C3"/>
            <w:vAlign w:val="center"/>
            <w:hideMark/>
          </w:tcPr>
          <w:p w14:paraId="3E98268D" w14:textId="77777777" w:rsidR="007C7D02" w:rsidRPr="007C7D02" w:rsidRDefault="007C7D02" w:rsidP="007C7D02">
            <w:pPr>
              <w:spacing w:after="0" w:line="240" w:lineRule="auto"/>
              <w:jc w:val="both"/>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TOTAL</w:t>
            </w:r>
          </w:p>
        </w:tc>
        <w:tc>
          <w:tcPr>
            <w:tcW w:w="1460" w:type="dxa"/>
            <w:tcBorders>
              <w:top w:val="nil"/>
              <w:left w:val="nil"/>
              <w:bottom w:val="single" w:sz="8" w:space="0" w:color="auto"/>
              <w:right w:val="single" w:sz="8" w:space="0" w:color="auto"/>
            </w:tcBorders>
            <w:shd w:val="clear" w:color="000000" w:fill="DDD9C3"/>
            <w:vAlign w:val="center"/>
            <w:hideMark/>
          </w:tcPr>
          <w:p w14:paraId="6E0BCBC2"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90,416.00 </w:t>
            </w:r>
          </w:p>
        </w:tc>
        <w:tc>
          <w:tcPr>
            <w:tcW w:w="1331" w:type="dxa"/>
            <w:tcBorders>
              <w:top w:val="nil"/>
              <w:left w:val="nil"/>
              <w:bottom w:val="single" w:sz="8" w:space="0" w:color="auto"/>
              <w:right w:val="single" w:sz="8" w:space="0" w:color="auto"/>
            </w:tcBorders>
            <w:shd w:val="clear" w:color="000000" w:fill="DDD9C3"/>
            <w:vAlign w:val="center"/>
            <w:hideMark/>
          </w:tcPr>
          <w:p w14:paraId="5594B7D4"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   </w:t>
            </w:r>
          </w:p>
        </w:tc>
        <w:tc>
          <w:tcPr>
            <w:tcW w:w="1260" w:type="dxa"/>
            <w:tcBorders>
              <w:top w:val="nil"/>
              <w:left w:val="nil"/>
              <w:bottom w:val="single" w:sz="8" w:space="0" w:color="auto"/>
              <w:right w:val="single" w:sz="8" w:space="0" w:color="auto"/>
            </w:tcBorders>
            <w:shd w:val="clear" w:color="000000" w:fill="DDD9C3"/>
            <w:vAlign w:val="center"/>
            <w:hideMark/>
          </w:tcPr>
          <w:p w14:paraId="455D1EA6"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   </w:t>
            </w:r>
          </w:p>
        </w:tc>
        <w:tc>
          <w:tcPr>
            <w:tcW w:w="1440" w:type="dxa"/>
            <w:tcBorders>
              <w:top w:val="nil"/>
              <w:left w:val="nil"/>
              <w:bottom w:val="single" w:sz="8" w:space="0" w:color="auto"/>
              <w:right w:val="single" w:sz="8" w:space="0" w:color="auto"/>
            </w:tcBorders>
            <w:shd w:val="clear" w:color="000000" w:fill="DDD9C3"/>
            <w:vAlign w:val="center"/>
            <w:hideMark/>
          </w:tcPr>
          <w:p w14:paraId="206DAFF5"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90,484.12 </w:t>
            </w:r>
          </w:p>
        </w:tc>
        <w:tc>
          <w:tcPr>
            <w:tcW w:w="1530" w:type="dxa"/>
            <w:tcBorders>
              <w:top w:val="nil"/>
              <w:left w:val="nil"/>
              <w:bottom w:val="single" w:sz="8" w:space="0" w:color="auto"/>
              <w:right w:val="single" w:sz="8" w:space="0" w:color="auto"/>
            </w:tcBorders>
            <w:shd w:val="clear" w:color="000000" w:fill="DDD9C3"/>
            <w:vAlign w:val="center"/>
            <w:hideMark/>
          </w:tcPr>
          <w:p w14:paraId="2B0401D4"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90,484.12 </w:t>
            </w:r>
          </w:p>
        </w:tc>
        <w:tc>
          <w:tcPr>
            <w:tcW w:w="1260" w:type="dxa"/>
            <w:tcBorders>
              <w:top w:val="nil"/>
              <w:left w:val="nil"/>
              <w:bottom w:val="single" w:sz="8" w:space="0" w:color="auto"/>
              <w:right w:val="single" w:sz="8" w:space="0" w:color="auto"/>
            </w:tcBorders>
            <w:shd w:val="clear" w:color="000000" w:fill="DDD9C3"/>
            <w:vAlign w:val="center"/>
            <w:hideMark/>
          </w:tcPr>
          <w:p w14:paraId="53C6E1DB" w14:textId="77777777" w:rsidR="007C7D02" w:rsidRPr="007C7D02" w:rsidRDefault="007C7D02" w:rsidP="007C7D02">
            <w:pPr>
              <w:spacing w:after="0" w:line="240" w:lineRule="auto"/>
              <w:jc w:val="right"/>
              <w:rPr>
                <w:rFonts w:ascii="Calibri" w:eastAsia="Times New Roman" w:hAnsi="Calibri" w:cs="Calibri"/>
                <w:b/>
                <w:bCs/>
                <w:color w:val="000000"/>
                <w:sz w:val="24"/>
                <w:szCs w:val="24"/>
              </w:rPr>
            </w:pPr>
            <w:r w:rsidRPr="007C7D02">
              <w:rPr>
                <w:rFonts w:ascii="Calibri" w:eastAsia="Times New Roman" w:hAnsi="Calibri" w:cs="Calibri"/>
                <w:b/>
                <w:bCs/>
                <w:color w:val="000000"/>
                <w:sz w:val="24"/>
                <w:szCs w:val="24"/>
              </w:rPr>
              <w:t xml:space="preserve">               (68.12)</w:t>
            </w:r>
          </w:p>
        </w:tc>
      </w:tr>
    </w:tbl>
    <w:p w14:paraId="0322A338" w14:textId="77777777" w:rsidR="007C7D02" w:rsidRPr="00D84046" w:rsidRDefault="007C7D02" w:rsidP="00503EF5">
      <w:pPr>
        <w:spacing w:after="0"/>
        <w:rPr>
          <w:b/>
          <w:bCs/>
          <w:sz w:val="28"/>
          <w:szCs w:val="28"/>
          <w:u w:val="single"/>
        </w:rPr>
      </w:pPr>
    </w:p>
    <w:p w14:paraId="04FDBBC6" w14:textId="77777777" w:rsidR="007C7D02" w:rsidRDefault="007C7D02" w:rsidP="00503EF5">
      <w:pPr>
        <w:jc w:val="center"/>
        <w:rPr>
          <w:b/>
          <w:bCs/>
          <w:sz w:val="28"/>
          <w:szCs w:val="28"/>
          <w:u w:val="single"/>
        </w:rPr>
      </w:pPr>
    </w:p>
    <w:p w14:paraId="64FC3BFF" w14:textId="58FD3597" w:rsidR="00503EF5" w:rsidRPr="00806D2A" w:rsidRDefault="00503EF5" w:rsidP="007323F1">
      <w:pPr>
        <w:spacing w:after="0"/>
        <w:jc w:val="center"/>
        <w:rPr>
          <w:b/>
          <w:bCs/>
          <w:sz w:val="28"/>
          <w:szCs w:val="28"/>
          <w:u w:val="single"/>
        </w:rPr>
      </w:pPr>
      <w:r w:rsidRPr="00806D2A">
        <w:rPr>
          <w:b/>
          <w:bCs/>
          <w:sz w:val="28"/>
          <w:szCs w:val="28"/>
          <w:u w:val="single"/>
        </w:rPr>
        <w:lastRenderedPageBreak/>
        <w:t xml:space="preserve">Table </w:t>
      </w:r>
      <w:r>
        <w:rPr>
          <w:b/>
          <w:bCs/>
          <w:sz w:val="28"/>
          <w:szCs w:val="28"/>
          <w:u w:val="single"/>
        </w:rPr>
        <w:t>2</w:t>
      </w:r>
      <w:r w:rsidRPr="00806D2A">
        <w:rPr>
          <w:b/>
          <w:bCs/>
          <w:sz w:val="28"/>
          <w:szCs w:val="28"/>
          <w:u w:val="single"/>
        </w:rPr>
        <w:t>: financial s</w:t>
      </w:r>
      <w:r>
        <w:rPr>
          <w:b/>
          <w:bCs/>
          <w:sz w:val="28"/>
          <w:szCs w:val="28"/>
          <w:u w:val="single"/>
        </w:rPr>
        <w:t>ummary (Based on Project Transaction details</w:t>
      </w:r>
      <w:r w:rsidRPr="00806D2A">
        <w:rPr>
          <w:b/>
          <w:bCs/>
          <w:sz w:val="28"/>
          <w:szCs w:val="28"/>
          <w:u w:val="single"/>
        </w:rPr>
        <w:t>)</w:t>
      </w:r>
    </w:p>
    <w:p w14:paraId="3B96A384" w14:textId="77777777" w:rsidR="00503EF5" w:rsidRPr="00806D2A" w:rsidRDefault="00503EF5" w:rsidP="007323F1">
      <w:pPr>
        <w:spacing w:after="0"/>
        <w:rPr>
          <w:b/>
          <w:bCs/>
          <w:sz w:val="28"/>
          <w:szCs w:val="28"/>
          <w:u w:val="single"/>
        </w:rPr>
      </w:pPr>
      <w:bookmarkStart w:id="21" w:name="_Hlk503519055"/>
      <w:r>
        <w:rPr>
          <w:b/>
          <w:bCs/>
          <w:sz w:val="28"/>
          <w:szCs w:val="28"/>
          <w:u w:val="single"/>
        </w:rPr>
        <w:t>Rule of Law</w:t>
      </w:r>
    </w:p>
    <w:tbl>
      <w:tblPr>
        <w:tblW w:w="11430" w:type="dxa"/>
        <w:tblInd w:w="-10" w:type="dxa"/>
        <w:tblLook w:val="04A0" w:firstRow="1" w:lastRow="0" w:firstColumn="1" w:lastColumn="0" w:noHBand="0" w:noVBand="1"/>
      </w:tblPr>
      <w:tblGrid>
        <w:gridCol w:w="1619"/>
        <w:gridCol w:w="2070"/>
        <w:gridCol w:w="1530"/>
        <w:gridCol w:w="1620"/>
        <w:gridCol w:w="1629"/>
        <w:gridCol w:w="1522"/>
        <w:gridCol w:w="1440"/>
      </w:tblGrid>
      <w:tr w:rsidR="007323F1" w:rsidRPr="007323F1" w14:paraId="09A4C6EF" w14:textId="77777777" w:rsidTr="007323F1">
        <w:trPr>
          <w:trHeight w:val="310"/>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336D1CFF"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Project Output</w:t>
            </w:r>
          </w:p>
        </w:tc>
        <w:tc>
          <w:tcPr>
            <w:tcW w:w="2070" w:type="dxa"/>
            <w:tcBorders>
              <w:top w:val="single" w:sz="8" w:space="0" w:color="auto"/>
              <w:left w:val="nil"/>
              <w:bottom w:val="nil"/>
              <w:right w:val="single" w:sz="8" w:space="0" w:color="auto"/>
            </w:tcBorders>
            <w:shd w:val="clear" w:color="000000" w:fill="C4BC96"/>
            <w:vAlign w:val="center"/>
            <w:hideMark/>
          </w:tcPr>
          <w:p w14:paraId="7BFE405E"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Planned Activities</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63F85F44"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Budget</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4A6B9D20"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Total expenses</w:t>
            </w:r>
          </w:p>
        </w:tc>
        <w:tc>
          <w:tcPr>
            <w:tcW w:w="1628"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1D77C445"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Commitments</w:t>
            </w:r>
          </w:p>
        </w:tc>
        <w:tc>
          <w:tcPr>
            <w:tcW w:w="152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16B15745"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Balance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2C6DC17E"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utilization</w:t>
            </w:r>
          </w:p>
        </w:tc>
      </w:tr>
      <w:tr w:rsidR="007323F1" w:rsidRPr="007323F1" w14:paraId="716C9EDF" w14:textId="77777777" w:rsidTr="007323F1">
        <w:trPr>
          <w:trHeight w:val="320"/>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11706F3B"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2070" w:type="dxa"/>
            <w:tcBorders>
              <w:top w:val="nil"/>
              <w:left w:val="nil"/>
              <w:bottom w:val="single" w:sz="8" w:space="0" w:color="auto"/>
              <w:right w:val="single" w:sz="8" w:space="0" w:color="auto"/>
            </w:tcBorders>
            <w:shd w:val="clear" w:color="000000" w:fill="C4BC96"/>
            <w:vAlign w:val="center"/>
            <w:hideMark/>
          </w:tcPr>
          <w:p w14:paraId="2167EAF3"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(Activity Results) </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AAD2ED1"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0E9C6CA"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628" w:type="dxa"/>
            <w:vMerge/>
            <w:tcBorders>
              <w:top w:val="single" w:sz="8" w:space="0" w:color="auto"/>
              <w:left w:val="single" w:sz="8" w:space="0" w:color="auto"/>
              <w:bottom w:val="single" w:sz="8" w:space="0" w:color="000000"/>
              <w:right w:val="single" w:sz="8" w:space="0" w:color="auto"/>
            </w:tcBorders>
            <w:vAlign w:val="center"/>
            <w:hideMark/>
          </w:tcPr>
          <w:p w14:paraId="337C1C6F"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522" w:type="dxa"/>
            <w:vMerge/>
            <w:tcBorders>
              <w:top w:val="single" w:sz="8" w:space="0" w:color="auto"/>
              <w:left w:val="single" w:sz="8" w:space="0" w:color="auto"/>
              <w:bottom w:val="single" w:sz="8" w:space="0" w:color="000000"/>
              <w:right w:val="single" w:sz="8" w:space="0" w:color="auto"/>
            </w:tcBorders>
            <w:vAlign w:val="center"/>
            <w:hideMark/>
          </w:tcPr>
          <w:p w14:paraId="3B5B9B20"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45AFB6F" w14:textId="77777777" w:rsidR="007323F1" w:rsidRPr="007323F1" w:rsidRDefault="007323F1" w:rsidP="007323F1">
            <w:pPr>
              <w:spacing w:after="0" w:line="240" w:lineRule="auto"/>
              <w:rPr>
                <w:rFonts w:ascii="Calibri" w:eastAsia="Times New Roman" w:hAnsi="Calibri" w:cs="Calibri"/>
                <w:b/>
                <w:bCs/>
                <w:color w:val="000000"/>
                <w:sz w:val="24"/>
                <w:szCs w:val="24"/>
              </w:rPr>
            </w:pPr>
          </w:p>
        </w:tc>
      </w:tr>
      <w:tr w:rsidR="007323F1" w:rsidRPr="007323F1" w14:paraId="11A2115D" w14:textId="77777777" w:rsidTr="007323F1">
        <w:trPr>
          <w:trHeight w:val="34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6F17D123"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1:</w:t>
            </w:r>
          </w:p>
        </w:tc>
        <w:tc>
          <w:tcPr>
            <w:tcW w:w="2070" w:type="dxa"/>
            <w:tcBorders>
              <w:top w:val="nil"/>
              <w:left w:val="nil"/>
              <w:bottom w:val="single" w:sz="8" w:space="0" w:color="auto"/>
              <w:right w:val="single" w:sz="8" w:space="0" w:color="auto"/>
            </w:tcBorders>
            <w:shd w:val="clear" w:color="000000" w:fill="F2F2F2"/>
            <w:vAlign w:val="center"/>
            <w:hideMark/>
          </w:tcPr>
          <w:p w14:paraId="7FBF1CEE"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61C5C1FB"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222,880.00 </w:t>
            </w:r>
          </w:p>
        </w:tc>
        <w:tc>
          <w:tcPr>
            <w:tcW w:w="1620" w:type="dxa"/>
            <w:tcBorders>
              <w:top w:val="nil"/>
              <w:left w:val="nil"/>
              <w:bottom w:val="single" w:sz="8" w:space="0" w:color="auto"/>
              <w:right w:val="single" w:sz="8" w:space="0" w:color="auto"/>
            </w:tcBorders>
            <w:shd w:val="clear" w:color="auto" w:fill="auto"/>
            <w:vAlign w:val="center"/>
            <w:hideMark/>
          </w:tcPr>
          <w:p w14:paraId="7AAFAD32"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160,742.00 </w:t>
            </w:r>
          </w:p>
        </w:tc>
        <w:tc>
          <w:tcPr>
            <w:tcW w:w="1628" w:type="dxa"/>
            <w:tcBorders>
              <w:top w:val="nil"/>
              <w:left w:val="nil"/>
              <w:bottom w:val="single" w:sz="8" w:space="0" w:color="auto"/>
              <w:right w:val="single" w:sz="8" w:space="0" w:color="auto"/>
            </w:tcBorders>
            <w:shd w:val="clear" w:color="auto" w:fill="auto"/>
            <w:vAlign w:val="center"/>
            <w:hideMark/>
          </w:tcPr>
          <w:p w14:paraId="4094506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28,060.00 </w:t>
            </w:r>
          </w:p>
        </w:tc>
        <w:tc>
          <w:tcPr>
            <w:tcW w:w="1522" w:type="dxa"/>
            <w:tcBorders>
              <w:top w:val="nil"/>
              <w:left w:val="nil"/>
              <w:bottom w:val="single" w:sz="8" w:space="0" w:color="auto"/>
              <w:right w:val="single" w:sz="8" w:space="0" w:color="auto"/>
            </w:tcBorders>
            <w:shd w:val="clear" w:color="auto" w:fill="auto"/>
            <w:vAlign w:val="center"/>
            <w:hideMark/>
          </w:tcPr>
          <w:p w14:paraId="14DD2F00"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34,078.00 </w:t>
            </w:r>
          </w:p>
        </w:tc>
        <w:tc>
          <w:tcPr>
            <w:tcW w:w="1440" w:type="dxa"/>
            <w:tcBorders>
              <w:top w:val="nil"/>
              <w:left w:val="nil"/>
              <w:bottom w:val="single" w:sz="8" w:space="0" w:color="auto"/>
              <w:right w:val="single" w:sz="8" w:space="0" w:color="auto"/>
            </w:tcBorders>
            <w:shd w:val="clear" w:color="auto" w:fill="auto"/>
            <w:vAlign w:val="center"/>
            <w:hideMark/>
          </w:tcPr>
          <w:p w14:paraId="0460D398"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85%</w:t>
            </w:r>
          </w:p>
        </w:tc>
      </w:tr>
      <w:tr w:rsidR="007323F1" w:rsidRPr="007323F1" w14:paraId="57367571" w14:textId="77777777" w:rsidTr="007323F1">
        <w:trPr>
          <w:trHeight w:val="29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1180D788"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2:</w:t>
            </w:r>
          </w:p>
        </w:tc>
        <w:tc>
          <w:tcPr>
            <w:tcW w:w="2070" w:type="dxa"/>
            <w:tcBorders>
              <w:top w:val="nil"/>
              <w:left w:val="nil"/>
              <w:bottom w:val="single" w:sz="8" w:space="0" w:color="auto"/>
              <w:right w:val="single" w:sz="8" w:space="0" w:color="auto"/>
            </w:tcBorders>
            <w:shd w:val="clear" w:color="000000" w:fill="F2F2F2"/>
            <w:vAlign w:val="center"/>
            <w:hideMark/>
          </w:tcPr>
          <w:p w14:paraId="16D93F78"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2764A7E0"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146,800.00 </w:t>
            </w:r>
          </w:p>
        </w:tc>
        <w:tc>
          <w:tcPr>
            <w:tcW w:w="1620" w:type="dxa"/>
            <w:tcBorders>
              <w:top w:val="nil"/>
              <w:left w:val="nil"/>
              <w:bottom w:val="single" w:sz="8" w:space="0" w:color="auto"/>
              <w:right w:val="single" w:sz="8" w:space="0" w:color="auto"/>
            </w:tcBorders>
            <w:shd w:val="clear" w:color="auto" w:fill="auto"/>
            <w:vAlign w:val="center"/>
            <w:hideMark/>
          </w:tcPr>
          <w:p w14:paraId="5B89089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50,090.00 </w:t>
            </w:r>
          </w:p>
        </w:tc>
        <w:tc>
          <w:tcPr>
            <w:tcW w:w="1628" w:type="dxa"/>
            <w:tcBorders>
              <w:top w:val="nil"/>
              <w:left w:val="nil"/>
              <w:bottom w:val="single" w:sz="8" w:space="0" w:color="auto"/>
              <w:right w:val="single" w:sz="8" w:space="0" w:color="auto"/>
            </w:tcBorders>
            <w:shd w:val="clear" w:color="auto" w:fill="auto"/>
            <w:vAlign w:val="center"/>
            <w:hideMark/>
          </w:tcPr>
          <w:p w14:paraId="331AE531"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522" w:type="dxa"/>
            <w:tcBorders>
              <w:top w:val="nil"/>
              <w:left w:val="nil"/>
              <w:bottom w:val="single" w:sz="8" w:space="0" w:color="auto"/>
              <w:right w:val="single" w:sz="8" w:space="0" w:color="auto"/>
            </w:tcBorders>
            <w:shd w:val="clear" w:color="auto" w:fill="auto"/>
            <w:vAlign w:val="center"/>
            <w:hideMark/>
          </w:tcPr>
          <w:p w14:paraId="29D750F5"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96,710.00 </w:t>
            </w:r>
          </w:p>
        </w:tc>
        <w:tc>
          <w:tcPr>
            <w:tcW w:w="1440" w:type="dxa"/>
            <w:tcBorders>
              <w:top w:val="nil"/>
              <w:left w:val="nil"/>
              <w:bottom w:val="single" w:sz="8" w:space="0" w:color="auto"/>
              <w:right w:val="single" w:sz="8" w:space="0" w:color="auto"/>
            </w:tcBorders>
            <w:shd w:val="clear" w:color="auto" w:fill="auto"/>
            <w:vAlign w:val="center"/>
            <w:hideMark/>
          </w:tcPr>
          <w:p w14:paraId="44499DC5"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34%</w:t>
            </w:r>
          </w:p>
        </w:tc>
      </w:tr>
      <w:tr w:rsidR="007323F1" w:rsidRPr="007323F1" w14:paraId="22A65EA8" w14:textId="77777777" w:rsidTr="007323F1">
        <w:trPr>
          <w:trHeight w:val="31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5F4458F3"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3:</w:t>
            </w:r>
          </w:p>
        </w:tc>
        <w:tc>
          <w:tcPr>
            <w:tcW w:w="2070" w:type="dxa"/>
            <w:tcBorders>
              <w:top w:val="nil"/>
              <w:left w:val="nil"/>
              <w:bottom w:val="single" w:sz="8" w:space="0" w:color="auto"/>
              <w:right w:val="single" w:sz="8" w:space="0" w:color="auto"/>
            </w:tcBorders>
            <w:shd w:val="clear" w:color="000000" w:fill="F2F2F2"/>
            <w:vAlign w:val="center"/>
            <w:hideMark/>
          </w:tcPr>
          <w:p w14:paraId="5C154781"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376508E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289,898.00 </w:t>
            </w:r>
          </w:p>
        </w:tc>
        <w:tc>
          <w:tcPr>
            <w:tcW w:w="1620" w:type="dxa"/>
            <w:tcBorders>
              <w:top w:val="nil"/>
              <w:left w:val="nil"/>
              <w:bottom w:val="single" w:sz="8" w:space="0" w:color="auto"/>
              <w:right w:val="single" w:sz="8" w:space="0" w:color="auto"/>
            </w:tcBorders>
            <w:shd w:val="clear" w:color="auto" w:fill="auto"/>
            <w:vAlign w:val="center"/>
            <w:hideMark/>
          </w:tcPr>
          <w:p w14:paraId="3A13C5CF"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143,593.00 </w:t>
            </w:r>
          </w:p>
        </w:tc>
        <w:tc>
          <w:tcPr>
            <w:tcW w:w="1628" w:type="dxa"/>
            <w:tcBorders>
              <w:top w:val="nil"/>
              <w:left w:val="nil"/>
              <w:bottom w:val="single" w:sz="8" w:space="0" w:color="auto"/>
              <w:right w:val="single" w:sz="8" w:space="0" w:color="auto"/>
            </w:tcBorders>
            <w:shd w:val="clear" w:color="auto" w:fill="auto"/>
            <w:vAlign w:val="center"/>
            <w:hideMark/>
          </w:tcPr>
          <w:p w14:paraId="23987702"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4,407.00 </w:t>
            </w:r>
          </w:p>
        </w:tc>
        <w:tc>
          <w:tcPr>
            <w:tcW w:w="1522" w:type="dxa"/>
            <w:tcBorders>
              <w:top w:val="nil"/>
              <w:left w:val="nil"/>
              <w:bottom w:val="single" w:sz="8" w:space="0" w:color="auto"/>
              <w:right w:val="single" w:sz="8" w:space="0" w:color="auto"/>
            </w:tcBorders>
            <w:shd w:val="clear" w:color="auto" w:fill="auto"/>
            <w:vAlign w:val="center"/>
            <w:hideMark/>
          </w:tcPr>
          <w:p w14:paraId="2B1A5547"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141,898.00 </w:t>
            </w:r>
          </w:p>
        </w:tc>
        <w:tc>
          <w:tcPr>
            <w:tcW w:w="1440" w:type="dxa"/>
            <w:tcBorders>
              <w:top w:val="nil"/>
              <w:left w:val="nil"/>
              <w:bottom w:val="single" w:sz="8" w:space="0" w:color="auto"/>
              <w:right w:val="single" w:sz="8" w:space="0" w:color="auto"/>
            </w:tcBorders>
            <w:shd w:val="clear" w:color="auto" w:fill="auto"/>
            <w:vAlign w:val="center"/>
            <w:hideMark/>
          </w:tcPr>
          <w:p w14:paraId="2C465E8F"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51%</w:t>
            </w:r>
          </w:p>
        </w:tc>
      </w:tr>
      <w:tr w:rsidR="007323F1" w:rsidRPr="007323F1" w14:paraId="0D47CD2D" w14:textId="77777777" w:rsidTr="007323F1">
        <w:trPr>
          <w:trHeight w:val="31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638A0A2D"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4:</w:t>
            </w:r>
          </w:p>
        </w:tc>
        <w:tc>
          <w:tcPr>
            <w:tcW w:w="2070" w:type="dxa"/>
            <w:tcBorders>
              <w:top w:val="nil"/>
              <w:left w:val="nil"/>
              <w:bottom w:val="single" w:sz="8" w:space="0" w:color="auto"/>
              <w:right w:val="single" w:sz="8" w:space="0" w:color="auto"/>
            </w:tcBorders>
            <w:shd w:val="clear" w:color="000000" w:fill="F2F2F2"/>
            <w:vAlign w:val="center"/>
            <w:hideMark/>
          </w:tcPr>
          <w:p w14:paraId="41B55490"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6479E79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307,271.00 </w:t>
            </w:r>
          </w:p>
        </w:tc>
        <w:tc>
          <w:tcPr>
            <w:tcW w:w="1620" w:type="dxa"/>
            <w:tcBorders>
              <w:top w:val="nil"/>
              <w:left w:val="nil"/>
              <w:bottom w:val="single" w:sz="8" w:space="0" w:color="auto"/>
              <w:right w:val="single" w:sz="8" w:space="0" w:color="auto"/>
            </w:tcBorders>
            <w:shd w:val="clear" w:color="auto" w:fill="auto"/>
            <w:vAlign w:val="center"/>
            <w:hideMark/>
          </w:tcPr>
          <w:p w14:paraId="33B6461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356,492.00 </w:t>
            </w:r>
          </w:p>
        </w:tc>
        <w:tc>
          <w:tcPr>
            <w:tcW w:w="1628" w:type="dxa"/>
            <w:tcBorders>
              <w:top w:val="nil"/>
              <w:left w:val="nil"/>
              <w:bottom w:val="single" w:sz="8" w:space="0" w:color="auto"/>
              <w:right w:val="single" w:sz="8" w:space="0" w:color="auto"/>
            </w:tcBorders>
            <w:shd w:val="clear" w:color="auto" w:fill="auto"/>
            <w:vAlign w:val="center"/>
            <w:hideMark/>
          </w:tcPr>
          <w:p w14:paraId="72AB25E9"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151.00 </w:t>
            </w:r>
          </w:p>
        </w:tc>
        <w:tc>
          <w:tcPr>
            <w:tcW w:w="1522" w:type="dxa"/>
            <w:tcBorders>
              <w:top w:val="nil"/>
              <w:left w:val="nil"/>
              <w:bottom w:val="single" w:sz="8" w:space="0" w:color="auto"/>
              <w:right w:val="single" w:sz="8" w:space="0" w:color="auto"/>
            </w:tcBorders>
            <w:shd w:val="clear" w:color="auto" w:fill="auto"/>
            <w:vAlign w:val="center"/>
            <w:hideMark/>
          </w:tcPr>
          <w:p w14:paraId="2ADA41C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(49,372.00)</w:t>
            </w:r>
          </w:p>
        </w:tc>
        <w:tc>
          <w:tcPr>
            <w:tcW w:w="1440" w:type="dxa"/>
            <w:tcBorders>
              <w:top w:val="nil"/>
              <w:left w:val="nil"/>
              <w:bottom w:val="single" w:sz="8" w:space="0" w:color="auto"/>
              <w:right w:val="single" w:sz="8" w:space="0" w:color="auto"/>
            </w:tcBorders>
            <w:shd w:val="clear" w:color="auto" w:fill="auto"/>
            <w:vAlign w:val="center"/>
            <w:hideMark/>
          </w:tcPr>
          <w:p w14:paraId="121A129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116%</w:t>
            </w:r>
          </w:p>
        </w:tc>
      </w:tr>
      <w:tr w:rsidR="007323F1" w:rsidRPr="007323F1" w14:paraId="40EBF5FD" w14:textId="77777777" w:rsidTr="007323F1">
        <w:trPr>
          <w:trHeight w:val="300"/>
        </w:trPr>
        <w:tc>
          <w:tcPr>
            <w:tcW w:w="36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696F22B" w14:textId="77777777" w:rsidR="007323F1" w:rsidRPr="007323F1" w:rsidRDefault="007323F1" w:rsidP="007323F1">
            <w:pPr>
              <w:spacing w:after="0" w:line="240" w:lineRule="auto"/>
              <w:rPr>
                <w:rFonts w:ascii="Calibri" w:eastAsia="Times New Roman" w:hAnsi="Calibri" w:cs="Calibri"/>
                <w:b/>
                <w:bCs/>
                <w:color w:val="000000"/>
              </w:rPr>
            </w:pPr>
            <w:r w:rsidRPr="007323F1">
              <w:rPr>
                <w:rFonts w:ascii="Calibri" w:eastAsia="Times New Roman" w:hAnsi="Calibri" w:cs="Calibri"/>
                <w:b/>
                <w:bCs/>
                <w:color w:val="000000"/>
              </w:rPr>
              <w:t>Total</w:t>
            </w:r>
          </w:p>
        </w:tc>
        <w:tc>
          <w:tcPr>
            <w:tcW w:w="1530" w:type="dxa"/>
            <w:tcBorders>
              <w:top w:val="nil"/>
              <w:left w:val="nil"/>
              <w:bottom w:val="single" w:sz="8" w:space="0" w:color="auto"/>
              <w:right w:val="single" w:sz="8" w:space="0" w:color="auto"/>
            </w:tcBorders>
            <w:shd w:val="clear" w:color="000000" w:fill="F2F2F2"/>
            <w:vAlign w:val="center"/>
            <w:hideMark/>
          </w:tcPr>
          <w:p w14:paraId="37D525A7"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966,849.00 </w:t>
            </w:r>
          </w:p>
        </w:tc>
        <w:tc>
          <w:tcPr>
            <w:tcW w:w="1620" w:type="dxa"/>
            <w:tcBorders>
              <w:top w:val="nil"/>
              <w:left w:val="nil"/>
              <w:bottom w:val="single" w:sz="8" w:space="0" w:color="auto"/>
              <w:right w:val="single" w:sz="8" w:space="0" w:color="auto"/>
            </w:tcBorders>
            <w:shd w:val="clear" w:color="000000" w:fill="F2F2F2"/>
            <w:vAlign w:val="center"/>
            <w:hideMark/>
          </w:tcPr>
          <w:p w14:paraId="07123CD5"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710,917.00 </w:t>
            </w:r>
          </w:p>
        </w:tc>
        <w:tc>
          <w:tcPr>
            <w:tcW w:w="1628" w:type="dxa"/>
            <w:tcBorders>
              <w:top w:val="nil"/>
              <w:left w:val="nil"/>
              <w:bottom w:val="single" w:sz="8" w:space="0" w:color="auto"/>
              <w:right w:val="single" w:sz="8" w:space="0" w:color="auto"/>
            </w:tcBorders>
            <w:shd w:val="clear" w:color="000000" w:fill="F2F2F2"/>
            <w:vAlign w:val="center"/>
            <w:hideMark/>
          </w:tcPr>
          <w:p w14:paraId="61B45D97"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32,618.00 </w:t>
            </w:r>
          </w:p>
        </w:tc>
        <w:tc>
          <w:tcPr>
            <w:tcW w:w="1522" w:type="dxa"/>
            <w:tcBorders>
              <w:top w:val="nil"/>
              <w:left w:val="nil"/>
              <w:bottom w:val="single" w:sz="8" w:space="0" w:color="auto"/>
              <w:right w:val="single" w:sz="8" w:space="0" w:color="auto"/>
            </w:tcBorders>
            <w:shd w:val="clear" w:color="000000" w:fill="F2F2F2"/>
            <w:vAlign w:val="center"/>
            <w:hideMark/>
          </w:tcPr>
          <w:p w14:paraId="5F775C1F"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223,314.00 </w:t>
            </w:r>
          </w:p>
        </w:tc>
        <w:tc>
          <w:tcPr>
            <w:tcW w:w="1440" w:type="dxa"/>
            <w:tcBorders>
              <w:top w:val="nil"/>
              <w:left w:val="nil"/>
              <w:bottom w:val="single" w:sz="8" w:space="0" w:color="auto"/>
              <w:right w:val="single" w:sz="8" w:space="0" w:color="auto"/>
            </w:tcBorders>
            <w:shd w:val="clear" w:color="auto" w:fill="auto"/>
            <w:vAlign w:val="center"/>
            <w:hideMark/>
          </w:tcPr>
          <w:p w14:paraId="0115EB2E"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77%</w:t>
            </w:r>
          </w:p>
        </w:tc>
      </w:tr>
    </w:tbl>
    <w:p w14:paraId="43DB6CB4" w14:textId="77777777" w:rsidR="00503EF5" w:rsidRDefault="00503EF5" w:rsidP="007323F1"/>
    <w:p w14:paraId="7D017EC5" w14:textId="6631ACD5" w:rsidR="007323F1" w:rsidRDefault="000B54E3" w:rsidP="007323F1">
      <w:pPr>
        <w:spacing w:after="0"/>
        <w:rPr>
          <w:b/>
          <w:bCs/>
          <w:sz w:val="28"/>
          <w:szCs w:val="28"/>
          <w:u w:val="single"/>
        </w:rPr>
      </w:pPr>
      <w:r>
        <w:rPr>
          <w:b/>
          <w:bCs/>
          <w:sz w:val="28"/>
          <w:szCs w:val="28"/>
          <w:u w:val="single"/>
        </w:rPr>
        <w:t>HRCSL</w:t>
      </w:r>
    </w:p>
    <w:tbl>
      <w:tblPr>
        <w:tblW w:w="11430" w:type="dxa"/>
        <w:tblInd w:w="-10" w:type="dxa"/>
        <w:tblLook w:val="04A0" w:firstRow="1" w:lastRow="0" w:firstColumn="1" w:lastColumn="0" w:noHBand="0" w:noVBand="1"/>
      </w:tblPr>
      <w:tblGrid>
        <w:gridCol w:w="1619"/>
        <w:gridCol w:w="2070"/>
        <w:gridCol w:w="1530"/>
        <w:gridCol w:w="1710"/>
        <w:gridCol w:w="1629"/>
        <w:gridCol w:w="1432"/>
        <w:gridCol w:w="1440"/>
      </w:tblGrid>
      <w:tr w:rsidR="007323F1" w:rsidRPr="007323F1" w14:paraId="384280BB" w14:textId="77777777" w:rsidTr="007323F1">
        <w:trPr>
          <w:trHeight w:val="310"/>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0CE76828"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Project Output</w:t>
            </w:r>
          </w:p>
        </w:tc>
        <w:tc>
          <w:tcPr>
            <w:tcW w:w="2070" w:type="dxa"/>
            <w:tcBorders>
              <w:top w:val="single" w:sz="8" w:space="0" w:color="auto"/>
              <w:left w:val="nil"/>
              <w:bottom w:val="nil"/>
              <w:right w:val="single" w:sz="8" w:space="0" w:color="auto"/>
            </w:tcBorders>
            <w:shd w:val="clear" w:color="000000" w:fill="C4BC96"/>
            <w:vAlign w:val="center"/>
            <w:hideMark/>
          </w:tcPr>
          <w:p w14:paraId="2493718B"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Planned Activities</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47779F03"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Budget </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531C14CC"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Total expenses </w:t>
            </w:r>
          </w:p>
        </w:tc>
        <w:tc>
          <w:tcPr>
            <w:tcW w:w="1628"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7756C6B9"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Commitments </w:t>
            </w:r>
          </w:p>
        </w:tc>
        <w:tc>
          <w:tcPr>
            <w:tcW w:w="143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5712A7A2"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Balance </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01B5D895"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utilization</w:t>
            </w:r>
          </w:p>
        </w:tc>
      </w:tr>
      <w:tr w:rsidR="007323F1" w:rsidRPr="007323F1" w14:paraId="14BEB34B" w14:textId="77777777" w:rsidTr="007323F1">
        <w:trPr>
          <w:trHeight w:val="320"/>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6A514D0A"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2070" w:type="dxa"/>
            <w:tcBorders>
              <w:top w:val="nil"/>
              <w:left w:val="nil"/>
              <w:bottom w:val="single" w:sz="8" w:space="0" w:color="auto"/>
              <w:right w:val="single" w:sz="8" w:space="0" w:color="auto"/>
            </w:tcBorders>
            <w:shd w:val="clear" w:color="000000" w:fill="C4BC96"/>
            <w:vAlign w:val="center"/>
            <w:hideMark/>
          </w:tcPr>
          <w:p w14:paraId="4C0577F0"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(Activity Results) </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8D6FCF8"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3AB37436"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628" w:type="dxa"/>
            <w:vMerge/>
            <w:tcBorders>
              <w:top w:val="single" w:sz="8" w:space="0" w:color="auto"/>
              <w:left w:val="single" w:sz="8" w:space="0" w:color="auto"/>
              <w:bottom w:val="single" w:sz="8" w:space="0" w:color="000000"/>
              <w:right w:val="single" w:sz="8" w:space="0" w:color="auto"/>
            </w:tcBorders>
            <w:vAlign w:val="center"/>
            <w:hideMark/>
          </w:tcPr>
          <w:p w14:paraId="117E055A"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432" w:type="dxa"/>
            <w:vMerge/>
            <w:tcBorders>
              <w:top w:val="single" w:sz="8" w:space="0" w:color="auto"/>
              <w:left w:val="single" w:sz="8" w:space="0" w:color="auto"/>
              <w:bottom w:val="single" w:sz="8" w:space="0" w:color="000000"/>
              <w:right w:val="single" w:sz="8" w:space="0" w:color="auto"/>
            </w:tcBorders>
            <w:vAlign w:val="center"/>
            <w:hideMark/>
          </w:tcPr>
          <w:p w14:paraId="2A9FF6FC"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55D2D83E" w14:textId="77777777" w:rsidR="007323F1" w:rsidRPr="007323F1" w:rsidRDefault="007323F1" w:rsidP="007323F1">
            <w:pPr>
              <w:spacing w:after="0" w:line="240" w:lineRule="auto"/>
              <w:rPr>
                <w:rFonts w:ascii="Calibri" w:eastAsia="Times New Roman" w:hAnsi="Calibri" w:cs="Calibri"/>
                <w:b/>
                <w:bCs/>
                <w:color w:val="000000"/>
                <w:sz w:val="24"/>
                <w:szCs w:val="24"/>
              </w:rPr>
            </w:pPr>
          </w:p>
        </w:tc>
      </w:tr>
      <w:tr w:rsidR="007323F1" w:rsidRPr="007323F1" w14:paraId="549F83F4"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72F105E1"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0:</w:t>
            </w:r>
          </w:p>
        </w:tc>
        <w:tc>
          <w:tcPr>
            <w:tcW w:w="2070" w:type="dxa"/>
            <w:tcBorders>
              <w:top w:val="nil"/>
              <w:left w:val="nil"/>
              <w:bottom w:val="single" w:sz="8" w:space="0" w:color="auto"/>
              <w:right w:val="single" w:sz="8" w:space="0" w:color="auto"/>
            </w:tcBorders>
            <w:shd w:val="clear" w:color="000000" w:fill="F2F2F2"/>
            <w:vAlign w:val="center"/>
            <w:hideMark/>
          </w:tcPr>
          <w:p w14:paraId="237B8D70"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55EDCF89"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49,000.00 </w:t>
            </w:r>
          </w:p>
        </w:tc>
        <w:tc>
          <w:tcPr>
            <w:tcW w:w="1710" w:type="dxa"/>
            <w:tcBorders>
              <w:top w:val="nil"/>
              <w:left w:val="nil"/>
              <w:bottom w:val="single" w:sz="8" w:space="0" w:color="auto"/>
              <w:right w:val="single" w:sz="8" w:space="0" w:color="auto"/>
            </w:tcBorders>
            <w:shd w:val="clear" w:color="auto" w:fill="auto"/>
            <w:vAlign w:val="center"/>
            <w:hideMark/>
          </w:tcPr>
          <w:p w14:paraId="1F3FB069"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(3,197.00)</w:t>
            </w:r>
          </w:p>
        </w:tc>
        <w:tc>
          <w:tcPr>
            <w:tcW w:w="1628" w:type="dxa"/>
            <w:tcBorders>
              <w:top w:val="nil"/>
              <w:left w:val="nil"/>
              <w:bottom w:val="single" w:sz="8" w:space="0" w:color="auto"/>
              <w:right w:val="single" w:sz="8" w:space="0" w:color="auto"/>
            </w:tcBorders>
            <w:shd w:val="clear" w:color="auto" w:fill="auto"/>
            <w:vAlign w:val="center"/>
            <w:hideMark/>
          </w:tcPr>
          <w:p w14:paraId="695F665D"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3.00 </w:t>
            </w:r>
          </w:p>
        </w:tc>
        <w:tc>
          <w:tcPr>
            <w:tcW w:w="1432" w:type="dxa"/>
            <w:tcBorders>
              <w:top w:val="nil"/>
              <w:left w:val="nil"/>
              <w:bottom w:val="single" w:sz="8" w:space="0" w:color="auto"/>
              <w:right w:val="single" w:sz="8" w:space="0" w:color="auto"/>
            </w:tcBorders>
            <w:shd w:val="clear" w:color="auto" w:fill="auto"/>
            <w:vAlign w:val="center"/>
            <w:hideMark/>
          </w:tcPr>
          <w:p w14:paraId="0BE6DCCC"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52,194.00 </w:t>
            </w:r>
          </w:p>
        </w:tc>
        <w:tc>
          <w:tcPr>
            <w:tcW w:w="1440" w:type="dxa"/>
            <w:tcBorders>
              <w:top w:val="nil"/>
              <w:left w:val="nil"/>
              <w:bottom w:val="single" w:sz="8" w:space="0" w:color="auto"/>
              <w:right w:val="single" w:sz="8" w:space="0" w:color="auto"/>
            </w:tcBorders>
            <w:shd w:val="clear" w:color="auto" w:fill="auto"/>
            <w:vAlign w:val="center"/>
            <w:hideMark/>
          </w:tcPr>
          <w:p w14:paraId="32B13DE0"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-7%</w:t>
            </w:r>
          </w:p>
        </w:tc>
      </w:tr>
      <w:tr w:rsidR="007323F1" w:rsidRPr="007323F1" w14:paraId="54D598E2"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06960FB8"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1:</w:t>
            </w:r>
          </w:p>
        </w:tc>
        <w:tc>
          <w:tcPr>
            <w:tcW w:w="2070" w:type="dxa"/>
            <w:tcBorders>
              <w:top w:val="nil"/>
              <w:left w:val="nil"/>
              <w:bottom w:val="single" w:sz="8" w:space="0" w:color="auto"/>
              <w:right w:val="single" w:sz="8" w:space="0" w:color="auto"/>
            </w:tcBorders>
            <w:shd w:val="clear" w:color="000000" w:fill="F2F2F2"/>
            <w:vAlign w:val="center"/>
            <w:hideMark/>
          </w:tcPr>
          <w:p w14:paraId="45E5C4C9"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1ABB1CAD"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710" w:type="dxa"/>
            <w:tcBorders>
              <w:top w:val="nil"/>
              <w:left w:val="nil"/>
              <w:bottom w:val="single" w:sz="8" w:space="0" w:color="auto"/>
              <w:right w:val="single" w:sz="8" w:space="0" w:color="auto"/>
            </w:tcBorders>
            <w:shd w:val="clear" w:color="auto" w:fill="auto"/>
            <w:vAlign w:val="center"/>
            <w:hideMark/>
          </w:tcPr>
          <w:p w14:paraId="1747E188"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628" w:type="dxa"/>
            <w:tcBorders>
              <w:top w:val="nil"/>
              <w:left w:val="nil"/>
              <w:bottom w:val="single" w:sz="8" w:space="0" w:color="auto"/>
              <w:right w:val="single" w:sz="8" w:space="0" w:color="auto"/>
            </w:tcBorders>
            <w:shd w:val="clear" w:color="auto" w:fill="auto"/>
            <w:vAlign w:val="center"/>
            <w:hideMark/>
          </w:tcPr>
          <w:p w14:paraId="3BA3D93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32" w:type="dxa"/>
            <w:tcBorders>
              <w:top w:val="nil"/>
              <w:left w:val="nil"/>
              <w:bottom w:val="single" w:sz="8" w:space="0" w:color="auto"/>
              <w:right w:val="single" w:sz="8" w:space="0" w:color="auto"/>
            </w:tcBorders>
            <w:shd w:val="clear" w:color="auto" w:fill="auto"/>
            <w:vAlign w:val="center"/>
            <w:hideMark/>
          </w:tcPr>
          <w:p w14:paraId="17D1501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40" w:type="dxa"/>
            <w:tcBorders>
              <w:top w:val="nil"/>
              <w:left w:val="nil"/>
              <w:bottom w:val="single" w:sz="8" w:space="0" w:color="auto"/>
              <w:right w:val="single" w:sz="8" w:space="0" w:color="auto"/>
            </w:tcBorders>
            <w:shd w:val="clear" w:color="auto" w:fill="auto"/>
            <w:vAlign w:val="center"/>
            <w:hideMark/>
          </w:tcPr>
          <w:p w14:paraId="53FABA9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0%</w:t>
            </w:r>
          </w:p>
        </w:tc>
      </w:tr>
      <w:tr w:rsidR="007323F1" w:rsidRPr="007323F1" w14:paraId="1193701C"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2157085F"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2:</w:t>
            </w:r>
          </w:p>
        </w:tc>
        <w:tc>
          <w:tcPr>
            <w:tcW w:w="2070" w:type="dxa"/>
            <w:tcBorders>
              <w:top w:val="nil"/>
              <w:left w:val="nil"/>
              <w:bottom w:val="single" w:sz="8" w:space="0" w:color="auto"/>
              <w:right w:val="single" w:sz="8" w:space="0" w:color="auto"/>
            </w:tcBorders>
            <w:shd w:val="clear" w:color="000000" w:fill="F2F2F2"/>
            <w:vAlign w:val="center"/>
            <w:hideMark/>
          </w:tcPr>
          <w:p w14:paraId="22E8D811"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59B5B674"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25,000.00 </w:t>
            </w:r>
          </w:p>
        </w:tc>
        <w:tc>
          <w:tcPr>
            <w:tcW w:w="1710" w:type="dxa"/>
            <w:tcBorders>
              <w:top w:val="nil"/>
              <w:left w:val="nil"/>
              <w:bottom w:val="single" w:sz="8" w:space="0" w:color="auto"/>
              <w:right w:val="single" w:sz="8" w:space="0" w:color="auto"/>
            </w:tcBorders>
            <w:shd w:val="clear" w:color="auto" w:fill="auto"/>
            <w:vAlign w:val="center"/>
            <w:hideMark/>
          </w:tcPr>
          <w:p w14:paraId="2B255569"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53,469.00 </w:t>
            </w:r>
          </w:p>
        </w:tc>
        <w:tc>
          <w:tcPr>
            <w:tcW w:w="1628" w:type="dxa"/>
            <w:tcBorders>
              <w:top w:val="nil"/>
              <w:left w:val="nil"/>
              <w:bottom w:val="single" w:sz="8" w:space="0" w:color="auto"/>
              <w:right w:val="single" w:sz="8" w:space="0" w:color="auto"/>
            </w:tcBorders>
            <w:shd w:val="clear" w:color="auto" w:fill="auto"/>
            <w:vAlign w:val="center"/>
            <w:hideMark/>
          </w:tcPr>
          <w:p w14:paraId="524A6BBE"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32" w:type="dxa"/>
            <w:tcBorders>
              <w:top w:val="nil"/>
              <w:left w:val="nil"/>
              <w:bottom w:val="single" w:sz="8" w:space="0" w:color="auto"/>
              <w:right w:val="single" w:sz="8" w:space="0" w:color="auto"/>
            </w:tcBorders>
            <w:shd w:val="clear" w:color="auto" w:fill="auto"/>
            <w:vAlign w:val="center"/>
            <w:hideMark/>
          </w:tcPr>
          <w:p w14:paraId="0C14469F"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(28,469.00)</w:t>
            </w:r>
          </w:p>
        </w:tc>
        <w:tc>
          <w:tcPr>
            <w:tcW w:w="1440" w:type="dxa"/>
            <w:tcBorders>
              <w:top w:val="nil"/>
              <w:left w:val="nil"/>
              <w:bottom w:val="single" w:sz="8" w:space="0" w:color="auto"/>
              <w:right w:val="single" w:sz="8" w:space="0" w:color="auto"/>
            </w:tcBorders>
            <w:shd w:val="clear" w:color="auto" w:fill="auto"/>
            <w:vAlign w:val="center"/>
            <w:hideMark/>
          </w:tcPr>
          <w:p w14:paraId="00E5F92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214%</w:t>
            </w:r>
          </w:p>
        </w:tc>
      </w:tr>
      <w:tr w:rsidR="007323F1" w:rsidRPr="007323F1" w14:paraId="25C5EA71"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6040A515"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3:</w:t>
            </w:r>
          </w:p>
        </w:tc>
        <w:tc>
          <w:tcPr>
            <w:tcW w:w="2070" w:type="dxa"/>
            <w:tcBorders>
              <w:top w:val="nil"/>
              <w:left w:val="nil"/>
              <w:bottom w:val="single" w:sz="8" w:space="0" w:color="auto"/>
              <w:right w:val="single" w:sz="8" w:space="0" w:color="auto"/>
            </w:tcBorders>
            <w:shd w:val="clear" w:color="000000" w:fill="F2F2F2"/>
            <w:vAlign w:val="center"/>
            <w:hideMark/>
          </w:tcPr>
          <w:p w14:paraId="2B0A03D7"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3A420BCC"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16,416.00 </w:t>
            </w:r>
          </w:p>
        </w:tc>
        <w:tc>
          <w:tcPr>
            <w:tcW w:w="1710" w:type="dxa"/>
            <w:tcBorders>
              <w:top w:val="nil"/>
              <w:left w:val="nil"/>
              <w:bottom w:val="single" w:sz="8" w:space="0" w:color="auto"/>
              <w:right w:val="single" w:sz="8" w:space="0" w:color="auto"/>
            </w:tcBorders>
            <w:shd w:val="clear" w:color="auto" w:fill="auto"/>
            <w:vAlign w:val="center"/>
            <w:hideMark/>
          </w:tcPr>
          <w:p w14:paraId="12CB6FE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628" w:type="dxa"/>
            <w:tcBorders>
              <w:top w:val="nil"/>
              <w:left w:val="nil"/>
              <w:bottom w:val="single" w:sz="8" w:space="0" w:color="auto"/>
              <w:right w:val="single" w:sz="8" w:space="0" w:color="auto"/>
            </w:tcBorders>
            <w:shd w:val="clear" w:color="auto" w:fill="auto"/>
            <w:vAlign w:val="center"/>
            <w:hideMark/>
          </w:tcPr>
          <w:p w14:paraId="2190756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32" w:type="dxa"/>
            <w:tcBorders>
              <w:top w:val="nil"/>
              <w:left w:val="nil"/>
              <w:bottom w:val="single" w:sz="8" w:space="0" w:color="auto"/>
              <w:right w:val="single" w:sz="8" w:space="0" w:color="auto"/>
            </w:tcBorders>
            <w:shd w:val="clear" w:color="auto" w:fill="auto"/>
            <w:vAlign w:val="center"/>
            <w:hideMark/>
          </w:tcPr>
          <w:p w14:paraId="3DF5397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16,416.00 </w:t>
            </w:r>
          </w:p>
        </w:tc>
        <w:tc>
          <w:tcPr>
            <w:tcW w:w="1440" w:type="dxa"/>
            <w:tcBorders>
              <w:top w:val="nil"/>
              <w:left w:val="nil"/>
              <w:bottom w:val="single" w:sz="8" w:space="0" w:color="auto"/>
              <w:right w:val="single" w:sz="8" w:space="0" w:color="auto"/>
            </w:tcBorders>
            <w:shd w:val="clear" w:color="auto" w:fill="auto"/>
            <w:vAlign w:val="center"/>
            <w:hideMark/>
          </w:tcPr>
          <w:p w14:paraId="03A9D7BC"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0%</w:t>
            </w:r>
          </w:p>
        </w:tc>
      </w:tr>
      <w:tr w:rsidR="007323F1" w:rsidRPr="007323F1" w14:paraId="24DEDB2C"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34BFABCC"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4:</w:t>
            </w:r>
          </w:p>
        </w:tc>
        <w:tc>
          <w:tcPr>
            <w:tcW w:w="2070" w:type="dxa"/>
            <w:tcBorders>
              <w:top w:val="nil"/>
              <w:left w:val="nil"/>
              <w:bottom w:val="single" w:sz="8" w:space="0" w:color="auto"/>
              <w:right w:val="single" w:sz="8" w:space="0" w:color="auto"/>
            </w:tcBorders>
            <w:shd w:val="clear" w:color="000000" w:fill="F2F2F2"/>
            <w:vAlign w:val="center"/>
            <w:hideMark/>
          </w:tcPr>
          <w:p w14:paraId="382E742C"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692B854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710" w:type="dxa"/>
            <w:tcBorders>
              <w:top w:val="nil"/>
              <w:left w:val="nil"/>
              <w:bottom w:val="single" w:sz="8" w:space="0" w:color="auto"/>
              <w:right w:val="single" w:sz="8" w:space="0" w:color="auto"/>
            </w:tcBorders>
            <w:shd w:val="clear" w:color="auto" w:fill="auto"/>
            <w:vAlign w:val="center"/>
            <w:hideMark/>
          </w:tcPr>
          <w:p w14:paraId="45A44DE8"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40,139.00 </w:t>
            </w:r>
          </w:p>
        </w:tc>
        <w:tc>
          <w:tcPr>
            <w:tcW w:w="1628" w:type="dxa"/>
            <w:tcBorders>
              <w:top w:val="nil"/>
              <w:left w:val="nil"/>
              <w:bottom w:val="single" w:sz="8" w:space="0" w:color="auto"/>
              <w:right w:val="single" w:sz="8" w:space="0" w:color="auto"/>
            </w:tcBorders>
            <w:shd w:val="clear" w:color="auto" w:fill="auto"/>
            <w:vAlign w:val="center"/>
            <w:hideMark/>
          </w:tcPr>
          <w:p w14:paraId="4B4D8CB4"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32" w:type="dxa"/>
            <w:tcBorders>
              <w:top w:val="nil"/>
              <w:left w:val="nil"/>
              <w:bottom w:val="single" w:sz="8" w:space="0" w:color="auto"/>
              <w:right w:val="single" w:sz="8" w:space="0" w:color="auto"/>
            </w:tcBorders>
            <w:shd w:val="clear" w:color="auto" w:fill="auto"/>
            <w:vAlign w:val="center"/>
            <w:hideMark/>
          </w:tcPr>
          <w:p w14:paraId="791BC3E8"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(40,139.00)</w:t>
            </w:r>
          </w:p>
        </w:tc>
        <w:tc>
          <w:tcPr>
            <w:tcW w:w="1440" w:type="dxa"/>
            <w:tcBorders>
              <w:top w:val="nil"/>
              <w:left w:val="nil"/>
              <w:bottom w:val="single" w:sz="8" w:space="0" w:color="auto"/>
              <w:right w:val="single" w:sz="8" w:space="0" w:color="auto"/>
            </w:tcBorders>
            <w:shd w:val="clear" w:color="auto" w:fill="auto"/>
            <w:vAlign w:val="center"/>
            <w:hideMark/>
          </w:tcPr>
          <w:p w14:paraId="3937986A"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0%</w:t>
            </w:r>
          </w:p>
        </w:tc>
      </w:tr>
      <w:tr w:rsidR="007323F1" w:rsidRPr="007323F1" w14:paraId="04D52370" w14:textId="77777777" w:rsidTr="007323F1">
        <w:trPr>
          <w:trHeight w:val="300"/>
        </w:trPr>
        <w:tc>
          <w:tcPr>
            <w:tcW w:w="36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8AF776" w14:textId="77777777" w:rsidR="007323F1" w:rsidRPr="007323F1" w:rsidRDefault="007323F1" w:rsidP="007323F1">
            <w:pPr>
              <w:spacing w:after="0" w:line="240" w:lineRule="auto"/>
              <w:rPr>
                <w:rFonts w:ascii="Calibri" w:eastAsia="Times New Roman" w:hAnsi="Calibri" w:cs="Calibri"/>
                <w:b/>
                <w:bCs/>
                <w:color w:val="000000"/>
              </w:rPr>
            </w:pPr>
            <w:r w:rsidRPr="007323F1">
              <w:rPr>
                <w:rFonts w:ascii="Calibri" w:eastAsia="Times New Roman" w:hAnsi="Calibri" w:cs="Calibri"/>
                <w:b/>
                <w:bCs/>
                <w:color w:val="000000"/>
              </w:rPr>
              <w:t>Total</w:t>
            </w:r>
          </w:p>
        </w:tc>
        <w:tc>
          <w:tcPr>
            <w:tcW w:w="1530" w:type="dxa"/>
            <w:tcBorders>
              <w:top w:val="nil"/>
              <w:left w:val="nil"/>
              <w:bottom w:val="single" w:sz="8" w:space="0" w:color="auto"/>
              <w:right w:val="single" w:sz="8" w:space="0" w:color="auto"/>
            </w:tcBorders>
            <w:shd w:val="clear" w:color="000000" w:fill="F2F2F2"/>
            <w:vAlign w:val="center"/>
            <w:hideMark/>
          </w:tcPr>
          <w:p w14:paraId="3244207E"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90,416.00 </w:t>
            </w:r>
          </w:p>
        </w:tc>
        <w:tc>
          <w:tcPr>
            <w:tcW w:w="1710" w:type="dxa"/>
            <w:tcBorders>
              <w:top w:val="nil"/>
              <w:left w:val="nil"/>
              <w:bottom w:val="single" w:sz="8" w:space="0" w:color="auto"/>
              <w:right w:val="single" w:sz="8" w:space="0" w:color="auto"/>
            </w:tcBorders>
            <w:shd w:val="clear" w:color="000000" w:fill="F2F2F2"/>
            <w:vAlign w:val="center"/>
            <w:hideMark/>
          </w:tcPr>
          <w:p w14:paraId="7A9F4535"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90,411.00 </w:t>
            </w:r>
          </w:p>
        </w:tc>
        <w:tc>
          <w:tcPr>
            <w:tcW w:w="1628" w:type="dxa"/>
            <w:tcBorders>
              <w:top w:val="nil"/>
              <w:left w:val="nil"/>
              <w:bottom w:val="single" w:sz="8" w:space="0" w:color="auto"/>
              <w:right w:val="single" w:sz="8" w:space="0" w:color="auto"/>
            </w:tcBorders>
            <w:shd w:val="clear" w:color="000000" w:fill="F2F2F2"/>
            <w:vAlign w:val="center"/>
            <w:hideMark/>
          </w:tcPr>
          <w:p w14:paraId="4B2EEE60"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3.00 </w:t>
            </w:r>
          </w:p>
        </w:tc>
        <w:tc>
          <w:tcPr>
            <w:tcW w:w="1432" w:type="dxa"/>
            <w:tcBorders>
              <w:top w:val="nil"/>
              <w:left w:val="nil"/>
              <w:bottom w:val="single" w:sz="8" w:space="0" w:color="auto"/>
              <w:right w:val="single" w:sz="8" w:space="0" w:color="auto"/>
            </w:tcBorders>
            <w:shd w:val="clear" w:color="000000" w:fill="F2F2F2"/>
            <w:vAlign w:val="center"/>
            <w:hideMark/>
          </w:tcPr>
          <w:p w14:paraId="627BB6E9"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2.00 </w:t>
            </w:r>
          </w:p>
        </w:tc>
        <w:tc>
          <w:tcPr>
            <w:tcW w:w="1440" w:type="dxa"/>
            <w:tcBorders>
              <w:top w:val="nil"/>
              <w:left w:val="nil"/>
              <w:bottom w:val="single" w:sz="8" w:space="0" w:color="auto"/>
              <w:right w:val="single" w:sz="8" w:space="0" w:color="auto"/>
            </w:tcBorders>
            <w:shd w:val="clear" w:color="auto" w:fill="auto"/>
            <w:vAlign w:val="center"/>
            <w:hideMark/>
          </w:tcPr>
          <w:p w14:paraId="3F24E0E9"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100%</w:t>
            </w:r>
          </w:p>
        </w:tc>
      </w:tr>
    </w:tbl>
    <w:p w14:paraId="5EF90A3C" w14:textId="77777777" w:rsidR="000B54E3" w:rsidRDefault="000B54E3" w:rsidP="00503EF5">
      <w:pPr>
        <w:pStyle w:val="ListParagraph"/>
      </w:pPr>
    </w:p>
    <w:p w14:paraId="130A79F0" w14:textId="77777777" w:rsidR="00503EF5" w:rsidRPr="00263AC1" w:rsidRDefault="00503EF5" w:rsidP="00503EF5">
      <w:pPr>
        <w:spacing w:after="0"/>
        <w:rPr>
          <w:b/>
          <w:bCs/>
          <w:sz w:val="28"/>
          <w:szCs w:val="28"/>
          <w:u w:val="single"/>
        </w:rPr>
      </w:pPr>
      <w:r w:rsidRPr="00263AC1">
        <w:rPr>
          <w:b/>
          <w:bCs/>
          <w:sz w:val="28"/>
          <w:szCs w:val="28"/>
          <w:u w:val="single"/>
        </w:rPr>
        <w:t>SLCS</w:t>
      </w:r>
    </w:p>
    <w:tbl>
      <w:tblPr>
        <w:tblW w:w="11430" w:type="dxa"/>
        <w:tblInd w:w="-10" w:type="dxa"/>
        <w:tblLook w:val="04A0" w:firstRow="1" w:lastRow="0" w:firstColumn="1" w:lastColumn="0" w:noHBand="0" w:noVBand="1"/>
      </w:tblPr>
      <w:tblGrid>
        <w:gridCol w:w="1619"/>
        <w:gridCol w:w="2070"/>
        <w:gridCol w:w="1530"/>
        <w:gridCol w:w="1710"/>
        <w:gridCol w:w="1629"/>
        <w:gridCol w:w="1432"/>
        <w:gridCol w:w="1440"/>
      </w:tblGrid>
      <w:tr w:rsidR="007323F1" w:rsidRPr="007323F1" w14:paraId="38495233" w14:textId="77777777" w:rsidTr="007323F1">
        <w:trPr>
          <w:trHeight w:val="310"/>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bookmarkEnd w:id="21"/>
          <w:p w14:paraId="3B5A387A"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Project Output</w:t>
            </w:r>
          </w:p>
        </w:tc>
        <w:tc>
          <w:tcPr>
            <w:tcW w:w="2070" w:type="dxa"/>
            <w:tcBorders>
              <w:top w:val="single" w:sz="8" w:space="0" w:color="auto"/>
              <w:left w:val="nil"/>
              <w:bottom w:val="nil"/>
              <w:right w:val="single" w:sz="8" w:space="0" w:color="auto"/>
            </w:tcBorders>
            <w:shd w:val="clear" w:color="000000" w:fill="C4BC96"/>
            <w:vAlign w:val="center"/>
            <w:hideMark/>
          </w:tcPr>
          <w:p w14:paraId="0F3560E9"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Planned Activities</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0DD39427"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Budget </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08E756EA"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Total expenses </w:t>
            </w:r>
          </w:p>
        </w:tc>
        <w:tc>
          <w:tcPr>
            <w:tcW w:w="1628"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2DFE1212"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Commitments </w:t>
            </w:r>
          </w:p>
        </w:tc>
        <w:tc>
          <w:tcPr>
            <w:tcW w:w="143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070805D3"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 Balance </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59D4157D"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utilization</w:t>
            </w:r>
          </w:p>
        </w:tc>
      </w:tr>
      <w:tr w:rsidR="007323F1" w:rsidRPr="007323F1" w14:paraId="4CE41272" w14:textId="77777777" w:rsidTr="007323F1">
        <w:trPr>
          <w:trHeight w:val="320"/>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6FE336AE"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2070" w:type="dxa"/>
            <w:tcBorders>
              <w:top w:val="nil"/>
              <w:left w:val="nil"/>
              <w:bottom w:val="single" w:sz="8" w:space="0" w:color="auto"/>
              <w:right w:val="single" w:sz="8" w:space="0" w:color="auto"/>
            </w:tcBorders>
            <w:shd w:val="clear" w:color="000000" w:fill="C4BC96"/>
            <w:vAlign w:val="center"/>
            <w:hideMark/>
          </w:tcPr>
          <w:p w14:paraId="7AB5AE57" w14:textId="77777777" w:rsidR="007323F1" w:rsidRPr="007323F1" w:rsidRDefault="007323F1" w:rsidP="007323F1">
            <w:pPr>
              <w:spacing w:after="0" w:line="240" w:lineRule="auto"/>
              <w:jc w:val="center"/>
              <w:rPr>
                <w:rFonts w:ascii="Calibri" w:eastAsia="Times New Roman" w:hAnsi="Calibri" w:cs="Calibri"/>
                <w:b/>
                <w:bCs/>
                <w:color w:val="000000"/>
                <w:sz w:val="24"/>
                <w:szCs w:val="24"/>
              </w:rPr>
            </w:pPr>
            <w:r w:rsidRPr="007323F1">
              <w:rPr>
                <w:rFonts w:ascii="Calibri" w:eastAsia="Times New Roman" w:hAnsi="Calibri" w:cs="Calibri"/>
                <w:b/>
                <w:bCs/>
                <w:color w:val="000000"/>
                <w:sz w:val="24"/>
                <w:szCs w:val="24"/>
              </w:rPr>
              <w:t xml:space="preserve">(Activity Results) </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6EE26A2"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194CE567"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628" w:type="dxa"/>
            <w:vMerge/>
            <w:tcBorders>
              <w:top w:val="single" w:sz="8" w:space="0" w:color="auto"/>
              <w:left w:val="single" w:sz="8" w:space="0" w:color="auto"/>
              <w:bottom w:val="single" w:sz="8" w:space="0" w:color="000000"/>
              <w:right w:val="single" w:sz="8" w:space="0" w:color="auto"/>
            </w:tcBorders>
            <w:vAlign w:val="center"/>
            <w:hideMark/>
          </w:tcPr>
          <w:p w14:paraId="36095E03"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432" w:type="dxa"/>
            <w:vMerge/>
            <w:tcBorders>
              <w:top w:val="single" w:sz="8" w:space="0" w:color="auto"/>
              <w:left w:val="single" w:sz="8" w:space="0" w:color="auto"/>
              <w:bottom w:val="single" w:sz="8" w:space="0" w:color="000000"/>
              <w:right w:val="single" w:sz="8" w:space="0" w:color="auto"/>
            </w:tcBorders>
            <w:vAlign w:val="center"/>
            <w:hideMark/>
          </w:tcPr>
          <w:p w14:paraId="20685868" w14:textId="77777777" w:rsidR="007323F1" w:rsidRPr="007323F1" w:rsidRDefault="007323F1" w:rsidP="007323F1">
            <w:pPr>
              <w:spacing w:after="0" w:line="240" w:lineRule="auto"/>
              <w:rPr>
                <w:rFonts w:ascii="Calibri" w:eastAsia="Times New Roman" w:hAnsi="Calibri" w:cs="Calibri"/>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5E1453EA" w14:textId="77777777" w:rsidR="007323F1" w:rsidRPr="007323F1" w:rsidRDefault="007323F1" w:rsidP="007323F1">
            <w:pPr>
              <w:spacing w:after="0" w:line="240" w:lineRule="auto"/>
              <w:rPr>
                <w:rFonts w:ascii="Calibri" w:eastAsia="Times New Roman" w:hAnsi="Calibri" w:cs="Calibri"/>
                <w:b/>
                <w:bCs/>
                <w:color w:val="000000"/>
                <w:sz w:val="24"/>
                <w:szCs w:val="24"/>
              </w:rPr>
            </w:pPr>
          </w:p>
        </w:tc>
      </w:tr>
      <w:tr w:rsidR="007323F1" w:rsidRPr="007323F1" w14:paraId="5EF68D8D" w14:textId="77777777" w:rsidTr="007323F1">
        <w:trPr>
          <w:trHeight w:val="32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64A48278"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1:</w:t>
            </w:r>
          </w:p>
        </w:tc>
        <w:tc>
          <w:tcPr>
            <w:tcW w:w="2070" w:type="dxa"/>
            <w:tcBorders>
              <w:top w:val="nil"/>
              <w:left w:val="nil"/>
              <w:bottom w:val="single" w:sz="8" w:space="0" w:color="auto"/>
              <w:right w:val="single" w:sz="8" w:space="0" w:color="auto"/>
            </w:tcBorders>
            <w:shd w:val="clear" w:color="000000" w:fill="F2F2F2"/>
            <w:vAlign w:val="center"/>
            <w:hideMark/>
          </w:tcPr>
          <w:p w14:paraId="162E1462"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00D09E77"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263,697.00 </w:t>
            </w:r>
          </w:p>
        </w:tc>
        <w:tc>
          <w:tcPr>
            <w:tcW w:w="1710" w:type="dxa"/>
            <w:tcBorders>
              <w:top w:val="nil"/>
              <w:left w:val="nil"/>
              <w:bottom w:val="single" w:sz="8" w:space="0" w:color="auto"/>
              <w:right w:val="single" w:sz="8" w:space="0" w:color="auto"/>
            </w:tcBorders>
            <w:shd w:val="clear" w:color="auto" w:fill="auto"/>
            <w:vAlign w:val="center"/>
            <w:hideMark/>
          </w:tcPr>
          <w:p w14:paraId="5E5BEACF"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452,296.00 </w:t>
            </w:r>
          </w:p>
        </w:tc>
        <w:tc>
          <w:tcPr>
            <w:tcW w:w="1628" w:type="dxa"/>
            <w:tcBorders>
              <w:top w:val="nil"/>
              <w:left w:val="nil"/>
              <w:bottom w:val="single" w:sz="8" w:space="0" w:color="auto"/>
              <w:right w:val="single" w:sz="8" w:space="0" w:color="auto"/>
            </w:tcBorders>
            <w:shd w:val="clear" w:color="auto" w:fill="auto"/>
            <w:vAlign w:val="center"/>
            <w:hideMark/>
          </w:tcPr>
          <w:p w14:paraId="074BEE28"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50,934.00 </w:t>
            </w:r>
          </w:p>
        </w:tc>
        <w:tc>
          <w:tcPr>
            <w:tcW w:w="1432" w:type="dxa"/>
            <w:tcBorders>
              <w:top w:val="nil"/>
              <w:left w:val="nil"/>
              <w:bottom w:val="single" w:sz="8" w:space="0" w:color="auto"/>
              <w:right w:val="single" w:sz="8" w:space="0" w:color="auto"/>
            </w:tcBorders>
            <w:shd w:val="clear" w:color="auto" w:fill="auto"/>
            <w:vAlign w:val="center"/>
            <w:hideMark/>
          </w:tcPr>
          <w:p w14:paraId="06FC2324"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(239,533.00)</w:t>
            </w:r>
          </w:p>
        </w:tc>
        <w:tc>
          <w:tcPr>
            <w:tcW w:w="1440" w:type="dxa"/>
            <w:tcBorders>
              <w:top w:val="nil"/>
              <w:left w:val="nil"/>
              <w:bottom w:val="single" w:sz="8" w:space="0" w:color="auto"/>
              <w:right w:val="single" w:sz="8" w:space="0" w:color="auto"/>
            </w:tcBorders>
            <w:shd w:val="clear" w:color="auto" w:fill="auto"/>
            <w:vAlign w:val="center"/>
            <w:hideMark/>
          </w:tcPr>
          <w:p w14:paraId="11DCCECF"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191%</w:t>
            </w:r>
          </w:p>
        </w:tc>
      </w:tr>
      <w:tr w:rsidR="007323F1" w:rsidRPr="007323F1" w14:paraId="4F300BC2" w14:textId="77777777" w:rsidTr="007323F1">
        <w:trPr>
          <w:trHeight w:val="32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33A13676"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2:</w:t>
            </w:r>
          </w:p>
        </w:tc>
        <w:tc>
          <w:tcPr>
            <w:tcW w:w="2070" w:type="dxa"/>
            <w:tcBorders>
              <w:top w:val="nil"/>
              <w:left w:val="nil"/>
              <w:bottom w:val="single" w:sz="8" w:space="0" w:color="auto"/>
              <w:right w:val="single" w:sz="8" w:space="0" w:color="auto"/>
            </w:tcBorders>
            <w:shd w:val="clear" w:color="000000" w:fill="F2F2F2"/>
            <w:vAlign w:val="center"/>
            <w:hideMark/>
          </w:tcPr>
          <w:p w14:paraId="4AB31758"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539379F0"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389,750.00 </w:t>
            </w:r>
          </w:p>
        </w:tc>
        <w:tc>
          <w:tcPr>
            <w:tcW w:w="1710" w:type="dxa"/>
            <w:tcBorders>
              <w:top w:val="nil"/>
              <w:left w:val="nil"/>
              <w:bottom w:val="single" w:sz="8" w:space="0" w:color="auto"/>
              <w:right w:val="single" w:sz="8" w:space="0" w:color="auto"/>
            </w:tcBorders>
            <w:shd w:val="clear" w:color="auto" w:fill="auto"/>
            <w:vAlign w:val="center"/>
            <w:hideMark/>
          </w:tcPr>
          <w:p w14:paraId="5BB9C66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84,881.00 </w:t>
            </w:r>
          </w:p>
        </w:tc>
        <w:tc>
          <w:tcPr>
            <w:tcW w:w="1628" w:type="dxa"/>
            <w:tcBorders>
              <w:top w:val="nil"/>
              <w:left w:val="nil"/>
              <w:bottom w:val="single" w:sz="8" w:space="0" w:color="auto"/>
              <w:right w:val="single" w:sz="8" w:space="0" w:color="auto"/>
            </w:tcBorders>
            <w:shd w:val="clear" w:color="auto" w:fill="auto"/>
            <w:vAlign w:val="center"/>
            <w:hideMark/>
          </w:tcPr>
          <w:p w14:paraId="00FD2B93"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10,723.00 </w:t>
            </w:r>
          </w:p>
        </w:tc>
        <w:tc>
          <w:tcPr>
            <w:tcW w:w="1432" w:type="dxa"/>
            <w:tcBorders>
              <w:top w:val="nil"/>
              <w:left w:val="nil"/>
              <w:bottom w:val="single" w:sz="8" w:space="0" w:color="auto"/>
              <w:right w:val="single" w:sz="8" w:space="0" w:color="auto"/>
            </w:tcBorders>
            <w:shd w:val="clear" w:color="auto" w:fill="auto"/>
            <w:vAlign w:val="center"/>
            <w:hideMark/>
          </w:tcPr>
          <w:p w14:paraId="0B7D44D4"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294,146.00 </w:t>
            </w:r>
          </w:p>
        </w:tc>
        <w:tc>
          <w:tcPr>
            <w:tcW w:w="1440" w:type="dxa"/>
            <w:tcBorders>
              <w:top w:val="nil"/>
              <w:left w:val="nil"/>
              <w:bottom w:val="single" w:sz="8" w:space="0" w:color="auto"/>
              <w:right w:val="single" w:sz="8" w:space="0" w:color="auto"/>
            </w:tcBorders>
            <w:shd w:val="clear" w:color="auto" w:fill="auto"/>
            <w:vAlign w:val="center"/>
            <w:hideMark/>
          </w:tcPr>
          <w:p w14:paraId="5FC622C0"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25%</w:t>
            </w:r>
          </w:p>
        </w:tc>
      </w:tr>
      <w:tr w:rsidR="007323F1" w:rsidRPr="007323F1" w14:paraId="2DDF2717" w14:textId="77777777" w:rsidTr="007323F1">
        <w:trPr>
          <w:trHeight w:val="300"/>
        </w:trPr>
        <w:tc>
          <w:tcPr>
            <w:tcW w:w="1620" w:type="dxa"/>
            <w:tcBorders>
              <w:top w:val="nil"/>
              <w:left w:val="single" w:sz="8" w:space="0" w:color="auto"/>
              <w:bottom w:val="single" w:sz="8" w:space="0" w:color="auto"/>
              <w:right w:val="single" w:sz="8" w:space="0" w:color="auto"/>
            </w:tcBorders>
            <w:shd w:val="clear" w:color="000000" w:fill="F2F2F2"/>
            <w:vAlign w:val="center"/>
            <w:hideMark/>
          </w:tcPr>
          <w:p w14:paraId="013FF822"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Atlas Activity 3:</w:t>
            </w:r>
          </w:p>
        </w:tc>
        <w:tc>
          <w:tcPr>
            <w:tcW w:w="2070" w:type="dxa"/>
            <w:tcBorders>
              <w:top w:val="nil"/>
              <w:left w:val="nil"/>
              <w:bottom w:val="single" w:sz="8" w:space="0" w:color="auto"/>
              <w:right w:val="single" w:sz="8" w:space="0" w:color="auto"/>
            </w:tcBorders>
            <w:shd w:val="clear" w:color="000000" w:fill="F2F2F2"/>
            <w:vAlign w:val="center"/>
            <w:hideMark/>
          </w:tcPr>
          <w:p w14:paraId="0E1EDDFC" w14:textId="77777777" w:rsidR="007323F1" w:rsidRPr="007323F1" w:rsidRDefault="007323F1" w:rsidP="007323F1">
            <w:pPr>
              <w:spacing w:after="0" w:line="240" w:lineRule="auto"/>
              <w:jc w:val="center"/>
              <w:rPr>
                <w:rFonts w:ascii="Calibri" w:eastAsia="Times New Roman" w:hAnsi="Calibri" w:cs="Calibri"/>
                <w:color w:val="000000"/>
              </w:rPr>
            </w:pPr>
            <w:r w:rsidRPr="007323F1">
              <w:rPr>
                <w:rFonts w:ascii="Calibri" w:eastAsia="Times New Roman" w:hAnsi="Calibri" w:cs="Calibri"/>
                <w:color w:val="000000"/>
              </w:rPr>
              <w:t> </w:t>
            </w:r>
          </w:p>
        </w:tc>
        <w:tc>
          <w:tcPr>
            <w:tcW w:w="1530" w:type="dxa"/>
            <w:tcBorders>
              <w:top w:val="nil"/>
              <w:left w:val="nil"/>
              <w:bottom w:val="single" w:sz="8" w:space="0" w:color="auto"/>
              <w:right w:val="single" w:sz="8" w:space="0" w:color="auto"/>
            </w:tcBorders>
            <w:shd w:val="clear" w:color="000000" w:fill="F2F2F2"/>
            <w:vAlign w:val="center"/>
            <w:hideMark/>
          </w:tcPr>
          <w:p w14:paraId="5136D7C6"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237,174.00 </w:t>
            </w:r>
          </w:p>
        </w:tc>
        <w:tc>
          <w:tcPr>
            <w:tcW w:w="1710" w:type="dxa"/>
            <w:tcBorders>
              <w:top w:val="nil"/>
              <w:left w:val="nil"/>
              <w:bottom w:val="single" w:sz="8" w:space="0" w:color="auto"/>
              <w:right w:val="single" w:sz="8" w:space="0" w:color="auto"/>
            </w:tcBorders>
            <w:shd w:val="clear" w:color="auto" w:fill="auto"/>
            <w:vAlign w:val="center"/>
            <w:hideMark/>
          </w:tcPr>
          <w:p w14:paraId="4000BA5B"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211,453.00 </w:t>
            </w:r>
          </w:p>
        </w:tc>
        <w:tc>
          <w:tcPr>
            <w:tcW w:w="1628" w:type="dxa"/>
            <w:tcBorders>
              <w:top w:val="nil"/>
              <w:left w:val="nil"/>
              <w:bottom w:val="single" w:sz="8" w:space="0" w:color="auto"/>
              <w:right w:val="single" w:sz="8" w:space="0" w:color="auto"/>
            </w:tcBorders>
            <w:shd w:val="clear" w:color="auto" w:fill="auto"/>
            <w:vAlign w:val="center"/>
            <w:hideMark/>
          </w:tcPr>
          <w:p w14:paraId="76FA1B1C"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   </w:t>
            </w:r>
          </w:p>
        </w:tc>
        <w:tc>
          <w:tcPr>
            <w:tcW w:w="1432" w:type="dxa"/>
            <w:tcBorders>
              <w:top w:val="nil"/>
              <w:left w:val="nil"/>
              <w:bottom w:val="single" w:sz="8" w:space="0" w:color="auto"/>
              <w:right w:val="single" w:sz="8" w:space="0" w:color="auto"/>
            </w:tcBorders>
            <w:shd w:val="clear" w:color="auto" w:fill="auto"/>
            <w:vAlign w:val="center"/>
            <w:hideMark/>
          </w:tcPr>
          <w:p w14:paraId="73EEEA25"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 xml:space="preserve">           25,721.00 </w:t>
            </w:r>
          </w:p>
        </w:tc>
        <w:tc>
          <w:tcPr>
            <w:tcW w:w="1440" w:type="dxa"/>
            <w:tcBorders>
              <w:top w:val="nil"/>
              <w:left w:val="nil"/>
              <w:bottom w:val="single" w:sz="8" w:space="0" w:color="auto"/>
              <w:right w:val="single" w:sz="8" w:space="0" w:color="auto"/>
            </w:tcBorders>
            <w:shd w:val="clear" w:color="auto" w:fill="auto"/>
            <w:vAlign w:val="center"/>
            <w:hideMark/>
          </w:tcPr>
          <w:p w14:paraId="2F9979B7" w14:textId="77777777" w:rsidR="007323F1" w:rsidRPr="007323F1" w:rsidRDefault="007323F1" w:rsidP="007323F1">
            <w:pPr>
              <w:spacing w:after="0" w:line="240" w:lineRule="auto"/>
              <w:jc w:val="right"/>
              <w:rPr>
                <w:rFonts w:ascii="Calibri" w:eastAsia="Times New Roman" w:hAnsi="Calibri" w:cs="Calibri"/>
                <w:color w:val="000000"/>
              </w:rPr>
            </w:pPr>
            <w:r w:rsidRPr="007323F1">
              <w:rPr>
                <w:rFonts w:ascii="Calibri" w:eastAsia="Times New Roman" w:hAnsi="Calibri" w:cs="Calibri"/>
                <w:color w:val="000000"/>
              </w:rPr>
              <w:t>89%</w:t>
            </w:r>
          </w:p>
        </w:tc>
      </w:tr>
      <w:tr w:rsidR="007323F1" w:rsidRPr="007323F1" w14:paraId="2105F7E6" w14:textId="77777777" w:rsidTr="007323F1">
        <w:trPr>
          <w:trHeight w:val="300"/>
        </w:trPr>
        <w:tc>
          <w:tcPr>
            <w:tcW w:w="36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4EB6D61" w14:textId="77777777" w:rsidR="007323F1" w:rsidRPr="007323F1" w:rsidRDefault="007323F1" w:rsidP="007323F1">
            <w:pPr>
              <w:spacing w:after="0" w:line="240" w:lineRule="auto"/>
              <w:rPr>
                <w:rFonts w:ascii="Calibri" w:eastAsia="Times New Roman" w:hAnsi="Calibri" w:cs="Calibri"/>
                <w:b/>
                <w:bCs/>
                <w:color w:val="000000"/>
              </w:rPr>
            </w:pPr>
            <w:r w:rsidRPr="007323F1">
              <w:rPr>
                <w:rFonts w:ascii="Calibri" w:eastAsia="Times New Roman" w:hAnsi="Calibri" w:cs="Calibri"/>
                <w:b/>
                <w:bCs/>
                <w:color w:val="000000"/>
              </w:rPr>
              <w:lastRenderedPageBreak/>
              <w:t>Total</w:t>
            </w:r>
          </w:p>
        </w:tc>
        <w:tc>
          <w:tcPr>
            <w:tcW w:w="1530" w:type="dxa"/>
            <w:tcBorders>
              <w:top w:val="nil"/>
              <w:left w:val="nil"/>
              <w:bottom w:val="single" w:sz="8" w:space="0" w:color="auto"/>
              <w:right w:val="single" w:sz="8" w:space="0" w:color="auto"/>
            </w:tcBorders>
            <w:shd w:val="clear" w:color="000000" w:fill="F2F2F2"/>
            <w:vAlign w:val="center"/>
            <w:hideMark/>
          </w:tcPr>
          <w:p w14:paraId="36CFFBC7"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890,621.00 </w:t>
            </w:r>
          </w:p>
        </w:tc>
        <w:tc>
          <w:tcPr>
            <w:tcW w:w="1710" w:type="dxa"/>
            <w:tcBorders>
              <w:top w:val="nil"/>
              <w:left w:val="nil"/>
              <w:bottom w:val="single" w:sz="8" w:space="0" w:color="auto"/>
              <w:right w:val="single" w:sz="8" w:space="0" w:color="auto"/>
            </w:tcBorders>
            <w:shd w:val="clear" w:color="000000" w:fill="F2F2F2"/>
            <w:vAlign w:val="center"/>
            <w:hideMark/>
          </w:tcPr>
          <w:p w14:paraId="63FADD74"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748,630.00 </w:t>
            </w:r>
          </w:p>
        </w:tc>
        <w:tc>
          <w:tcPr>
            <w:tcW w:w="1628" w:type="dxa"/>
            <w:tcBorders>
              <w:top w:val="nil"/>
              <w:left w:val="nil"/>
              <w:bottom w:val="single" w:sz="8" w:space="0" w:color="auto"/>
              <w:right w:val="single" w:sz="8" w:space="0" w:color="auto"/>
            </w:tcBorders>
            <w:shd w:val="clear" w:color="000000" w:fill="F2F2F2"/>
            <w:vAlign w:val="center"/>
            <w:hideMark/>
          </w:tcPr>
          <w:p w14:paraId="2A0E9504"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61,657.00 </w:t>
            </w:r>
          </w:p>
        </w:tc>
        <w:tc>
          <w:tcPr>
            <w:tcW w:w="1432" w:type="dxa"/>
            <w:tcBorders>
              <w:top w:val="nil"/>
              <w:left w:val="nil"/>
              <w:bottom w:val="single" w:sz="8" w:space="0" w:color="auto"/>
              <w:right w:val="single" w:sz="8" w:space="0" w:color="auto"/>
            </w:tcBorders>
            <w:shd w:val="clear" w:color="000000" w:fill="F2F2F2"/>
            <w:vAlign w:val="center"/>
            <w:hideMark/>
          </w:tcPr>
          <w:p w14:paraId="0C77872F"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 xml:space="preserve">          80,334.00 </w:t>
            </w:r>
          </w:p>
        </w:tc>
        <w:tc>
          <w:tcPr>
            <w:tcW w:w="1440" w:type="dxa"/>
            <w:tcBorders>
              <w:top w:val="nil"/>
              <w:left w:val="nil"/>
              <w:bottom w:val="single" w:sz="8" w:space="0" w:color="auto"/>
              <w:right w:val="single" w:sz="8" w:space="0" w:color="auto"/>
            </w:tcBorders>
            <w:shd w:val="clear" w:color="auto" w:fill="auto"/>
            <w:vAlign w:val="center"/>
            <w:hideMark/>
          </w:tcPr>
          <w:p w14:paraId="6089C98C" w14:textId="77777777" w:rsidR="007323F1" w:rsidRPr="007323F1" w:rsidRDefault="007323F1" w:rsidP="007323F1">
            <w:pPr>
              <w:spacing w:after="0" w:line="240" w:lineRule="auto"/>
              <w:jc w:val="right"/>
              <w:rPr>
                <w:rFonts w:ascii="Calibri" w:eastAsia="Times New Roman" w:hAnsi="Calibri" w:cs="Calibri"/>
                <w:b/>
                <w:bCs/>
                <w:color w:val="000000"/>
              </w:rPr>
            </w:pPr>
            <w:r w:rsidRPr="007323F1">
              <w:rPr>
                <w:rFonts w:ascii="Calibri" w:eastAsia="Times New Roman" w:hAnsi="Calibri" w:cs="Calibri"/>
                <w:b/>
                <w:bCs/>
                <w:color w:val="000000"/>
              </w:rPr>
              <w:t>91%</w:t>
            </w:r>
          </w:p>
        </w:tc>
      </w:tr>
    </w:tbl>
    <w:p w14:paraId="73A01A3A" w14:textId="77777777" w:rsidR="00503EF5" w:rsidRDefault="00503EF5" w:rsidP="007323F1"/>
    <w:p w14:paraId="601B1FD3" w14:textId="77777777" w:rsidR="0052627B" w:rsidRDefault="0052627B" w:rsidP="00200CC8">
      <w:pPr>
        <w:pStyle w:val="Title"/>
        <w:sectPr w:rsidR="0052627B" w:rsidSect="007C66D5">
          <w:pgSz w:w="12240" w:h="15840"/>
          <w:pgMar w:top="1440" w:right="1440" w:bottom="426" w:left="1440" w:header="720" w:footer="720" w:gutter="0"/>
          <w:cols w:space="720"/>
          <w:docGrid w:linePitch="360"/>
        </w:sectPr>
      </w:pPr>
    </w:p>
    <w:p w14:paraId="0BA0CC21" w14:textId="77777777" w:rsidR="007215DC" w:rsidRDefault="007215DC" w:rsidP="009924BE">
      <w:pPr>
        <w:pStyle w:val="Heading1"/>
      </w:pPr>
      <w:bookmarkStart w:id="22" w:name="_Toc401569394"/>
      <w:bookmarkStart w:id="23" w:name="_Toc503736523"/>
      <w:r>
        <w:lastRenderedPageBreak/>
        <w:t>Monitoring and Evaluation</w:t>
      </w:r>
      <w:bookmarkEnd w:id="22"/>
      <w:bookmarkEnd w:id="23"/>
      <w:r>
        <w:t xml:space="preserve"> </w:t>
      </w:r>
    </w:p>
    <w:p w14:paraId="32C3C5BC" w14:textId="49684584" w:rsidR="00895535" w:rsidRPr="00021151" w:rsidRDefault="004257EA">
      <w:pPr>
        <w:rPr>
          <w:b/>
          <w:bCs/>
          <w:sz w:val="28"/>
          <w:szCs w:val="28"/>
        </w:rPr>
      </w:pPr>
      <w:r w:rsidRPr="00F932E1">
        <w:rPr>
          <w:b/>
          <w:bCs/>
          <w:sz w:val="28"/>
          <w:szCs w:val="28"/>
        </w:rPr>
        <w:t>Activities</w:t>
      </w:r>
      <w:r w:rsidR="004C0B9F">
        <w:rPr>
          <w:b/>
          <w:bCs/>
          <w:sz w:val="28"/>
          <w:szCs w:val="28"/>
        </w:rPr>
        <w:t xml:space="preserve"> conducted during </w:t>
      </w:r>
      <w:r w:rsidR="00021151">
        <w:rPr>
          <w:b/>
          <w:bCs/>
          <w:sz w:val="28"/>
          <w:szCs w:val="28"/>
        </w:rPr>
        <w:t>201</w:t>
      </w:r>
      <w:r w:rsidR="00F57009">
        <w:rPr>
          <w:b/>
          <w:bCs/>
          <w:sz w:val="28"/>
          <w:szCs w:val="28"/>
        </w:rPr>
        <w:t>8</w:t>
      </w:r>
    </w:p>
    <w:tbl>
      <w:tblPr>
        <w:tblStyle w:val="LightList-Accent1"/>
        <w:tblW w:w="5000" w:type="pct"/>
        <w:tblLook w:val="00A0" w:firstRow="1" w:lastRow="0" w:firstColumn="1" w:lastColumn="0" w:noHBand="0" w:noVBand="0"/>
      </w:tblPr>
      <w:tblGrid>
        <w:gridCol w:w="1181"/>
        <w:gridCol w:w="1105"/>
        <w:gridCol w:w="4024"/>
        <w:gridCol w:w="1517"/>
        <w:gridCol w:w="1513"/>
      </w:tblGrid>
      <w:tr w:rsidR="00A8244D" w14:paraId="5AD9CF8F" w14:textId="77777777" w:rsidTr="00530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B859C89" w14:textId="77777777" w:rsidR="00A8244D" w:rsidRDefault="00A8244D" w:rsidP="00D80D97">
            <w:pPr>
              <w:jc w:val="center"/>
            </w:pPr>
            <w:r>
              <w:t>Date</w:t>
            </w:r>
          </w:p>
        </w:tc>
        <w:tc>
          <w:tcPr>
            <w:cnfStyle w:val="000010000000" w:firstRow="0" w:lastRow="0" w:firstColumn="0" w:lastColumn="0" w:oddVBand="1" w:evenVBand="0" w:oddHBand="0" w:evenHBand="0" w:firstRowFirstColumn="0" w:firstRowLastColumn="0" w:lastRowFirstColumn="0" w:lastRowLastColumn="0"/>
            <w:tcW w:w="59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FD2E213" w14:textId="77777777" w:rsidR="00A8244D" w:rsidRDefault="00A8244D" w:rsidP="00D80D97">
            <w:pPr>
              <w:jc w:val="center"/>
            </w:pPr>
            <w:r>
              <w:t>Specify to which output it’s linked to</w:t>
            </w:r>
          </w:p>
        </w:tc>
        <w:tc>
          <w:tcPr>
            <w:tcW w:w="215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837D67C" w14:textId="77777777" w:rsidR="00A8244D" w:rsidRDefault="00A8244D" w:rsidP="00D80D97">
            <w:pPr>
              <w:jc w:val="center"/>
              <w:cnfStyle w:val="100000000000" w:firstRow="1" w:lastRow="0" w:firstColumn="0" w:lastColumn="0" w:oddVBand="0" w:evenVBand="0" w:oddHBand="0" w:evenHBand="0" w:firstRowFirstColumn="0" w:firstRowLastColumn="0" w:lastRowFirstColumn="0" w:lastRowLastColumn="0"/>
            </w:pPr>
            <w:r>
              <w:t>M&amp;E Activity carried out</w:t>
            </w:r>
          </w:p>
        </w:tc>
        <w:tc>
          <w:tcPr>
            <w:cnfStyle w:val="000010000000" w:firstRow="0" w:lastRow="0" w:firstColumn="0" w:lastColumn="0" w:oddVBand="1" w:evenVBand="0" w:oddHBand="0" w:evenHBand="0" w:firstRowFirstColumn="0" w:firstRowLastColumn="0" w:lastRowFirstColumn="0" w:lastRowLastColumn="0"/>
            <w:tcW w:w="8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12C15F5" w14:textId="77777777" w:rsidR="00A8244D" w:rsidRDefault="00A8244D" w:rsidP="00D80D97">
            <w:pPr>
              <w:jc w:val="center"/>
            </w:pPr>
            <w:r>
              <w:t xml:space="preserve">Budget spent on this activity </w:t>
            </w:r>
          </w:p>
        </w:tc>
        <w:tc>
          <w:tcPr>
            <w:tcW w:w="8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35339B5" w14:textId="77777777" w:rsidR="00A8244D" w:rsidRDefault="00A8244D" w:rsidP="00D80D97">
            <w:pPr>
              <w:jc w:val="center"/>
              <w:cnfStyle w:val="100000000000" w:firstRow="1" w:lastRow="0" w:firstColumn="0" w:lastColumn="0" w:oddVBand="0" w:evenVBand="0" w:oddHBand="0" w:evenHBand="0" w:firstRowFirstColumn="0" w:firstRowLastColumn="0" w:lastRowFirstColumn="0" w:lastRowLastColumn="0"/>
            </w:pPr>
            <w:r>
              <w:t>Responsible Officer</w:t>
            </w:r>
          </w:p>
        </w:tc>
      </w:tr>
      <w:tr w:rsidR="00530A1D" w14:paraId="4A753254" w14:textId="77777777" w:rsidTr="0053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DFA313E" w14:textId="0D18A11A" w:rsidR="00530A1D" w:rsidRDefault="00530A1D" w:rsidP="006466FC">
            <w:r>
              <w:rPr>
                <w:rFonts w:cs="Times New Roman"/>
              </w:rPr>
              <w:t>14 – 16 February 2018</w:t>
            </w:r>
            <w:r w:rsidRPr="00E620CD">
              <w:rPr>
                <w:rFonts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59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23FCAEC" w14:textId="168CC901" w:rsidR="00530A1D" w:rsidRDefault="00986053" w:rsidP="00D80D97">
            <w:pPr>
              <w:jc w:val="center"/>
            </w:pPr>
            <w:r>
              <w:t>INL Output 2</w:t>
            </w:r>
          </w:p>
        </w:tc>
        <w:tc>
          <w:tcPr>
            <w:tcW w:w="215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458B0CC" w14:textId="62C5F895" w:rsidR="00530A1D" w:rsidRDefault="00986053" w:rsidP="006466FC">
            <w:pPr>
              <w:cnfStyle w:val="000000100000" w:firstRow="0" w:lastRow="0" w:firstColumn="0" w:lastColumn="0" w:oddVBand="0" w:evenVBand="0" w:oddHBand="1" w:evenHBand="0" w:firstRowFirstColumn="0" w:firstRowLastColumn="0" w:lastRowFirstColumn="0" w:lastRowLastColumn="0"/>
            </w:pPr>
            <w:r>
              <w:rPr>
                <w:rFonts w:cstheme="minorHAnsi"/>
                <w:color w:val="000000" w:themeColor="text1"/>
              </w:rPr>
              <w:t xml:space="preserve">Retreat to </w:t>
            </w:r>
            <w:proofErr w:type="spellStart"/>
            <w:r>
              <w:rPr>
                <w:rFonts w:cstheme="minorHAnsi"/>
                <w:color w:val="000000" w:themeColor="text1"/>
              </w:rPr>
              <w:t>finalise</w:t>
            </w:r>
            <w:proofErr w:type="spellEnd"/>
            <w:r>
              <w:rPr>
                <w:rFonts w:cstheme="minorHAnsi"/>
                <w:color w:val="000000" w:themeColor="text1"/>
              </w:rPr>
              <w:t xml:space="preserve"> review of SLCS legislative framework - Makeni</w:t>
            </w:r>
          </w:p>
        </w:tc>
        <w:tc>
          <w:tcPr>
            <w:cnfStyle w:val="000010000000" w:firstRow="0" w:lastRow="0" w:firstColumn="0" w:lastColumn="0" w:oddVBand="1" w:evenVBand="0" w:oddHBand="0" w:evenHBand="0" w:firstRowFirstColumn="0" w:firstRowLastColumn="0" w:lastRowFirstColumn="0" w:lastRowLastColumn="0"/>
            <w:tcW w:w="8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98385FD" w14:textId="250DB112" w:rsidR="00530A1D" w:rsidRDefault="00986053" w:rsidP="00D80D97">
            <w:pPr>
              <w:jc w:val="center"/>
            </w:pPr>
            <w:r>
              <w:t>DSA and fuel</w:t>
            </w:r>
          </w:p>
        </w:tc>
        <w:tc>
          <w:tcPr>
            <w:tcW w:w="8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5B7E266" w14:textId="6662CDC6" w:rsidR="00530A1D" w:rsidRDefault="00986053" w:rsidP="006466FC">
            <w:pPr>
              <w:cnfStyle w:val="000000100000" w:firstRow="0" w:lastRow="0" w:firstColumn="0" w:lastColumn="0" w:oddVBand="0" w:evenVBand="0" w:oddHBand="1" w:evenHBand="0" w:firstRowFirstColumn="0" w:firstRowLastColumn="0" w:lastRowFirstColumn="0" w:lastRowLastColumn="0"/>
            </w:pPr>
            <w:r>
              <w:t>LSA</w:t>
            </w:r>
          </w:p>
        </w:tc>
      </w:tr>
      <w:tr w:rsidR="00530A1D" w14:paraId="1DE4DAE2" w14:textId="77777777" w:rsidTr="00735A31">
        <w:tc>
          <w:tcPr>
            <w:cnfStyle w:val="001000000000" w:firstRow="0" w:lastRow="0" w:firstColumn="1" w:lastColumn="0" w:oddVBand="0" w:evenVBand="0" w:oddHBand="0" w:evenHBand="0" w:firstRowFirstColumn="0" w:firstRowLastColumn="0" w:lastRowFirstColumn="0" w:lastRowLastColumn="0"/>
            <w:tcW w:w="632" w:type="pct"/>
            <w:tcBorders>
              <w:top w:val="single" w:sz="8" w:space="0" w:color="FFFFFF" w:themeColor="background1"/>
            </w:tcBorders>
            <w:shd w:val="clear" w:color="auto" w:fill="auto"/>
          </w:tcPr>
          <w:p w14:paraId="180021D3" w14:textId="634AD98B" w:rsidR="00530A1D" w:rsidRPr="00991A05" w:rsidRDefault="00530A1D" w:rsidP="00530A1D">
            <w:pPr>
              <w:rPr>
                <w:rFonts w:cs="Times New Roman"/>
                <w:bCs w:val="0"/>
              </w:rPr>
            </w:pPr>
            <w:r w:rsidRPr="00781EFF">
              <w:t>12 – 26</w:t>
            </w:r>
            <w:r>
              <w:t xml:space="preserve"> Aug 2018</w:t>
            </w:r>
            <w:r w:rsidRPr="00781EFF">
              <w:t xml:space="preserve">  </w:t>
            </w:r>
          </w:p>
        </w:tc>
        <w:tc>
          <w:tcPr>
            <w:cnfStyle w:val="000010000000" w:firstRow="0" w:lastRow="0" w:firstColumn="0" w:lastColumn="0" w:oddVBand="1" w:evenVBand="0" w:oddHBand="0" w:evenHBand="0" w:firstRowFirstColumn="0" w:firstRowLastColumn="0" w:lastRowFirstColumn="0" w:lastRowLastColumn="0"/>
            <w:tcW w:w="592" w:type="pct"/>
            <w:tcBorders>
              <w:top w:val="single" w:sz="8" w:space="0" w:color="FFFFFF" w:themeColor="background1"/>
            </w:tcBorders>
            <w:shd w:val="clear" w:color="auto" w:fill="auto"/>
          </w:tcPr>
          <w:p w14:paraId="581E5A24" w14:textId="184267F7" w:rsidR="00530A1D" w:rsidRDefault="00530A1D" w:rsidP="00530A1D">
            <w:r>
              <w:t>INL Output 1 and 2</w:t>
            </w:r>
          </w:p>
        </w:tc>
        <w:tc>
          <w:tcPr>
            <w:tcW w:w="2154" w:type="pct"/>
            <w:tcBorders>
              <w:top w:val="single" w:sz="8" w:space="0" w:color="FFFFFF" w:themeColor="background1"/>
            </w:tcBorders>
            <w:shd w:val="clear" w:color="auto" w:fill="auto"/>
          </w:tcPr>
          <w:p w14:paraId="1F7503A7" w14:textId="0A911447" w:rsidR="00530A1D" w:rsidRPr="006466FC" w:rsidRDefault="00530A1D" w:rsidP="006466FC">
            <w:pPr>
              <w:spacing w:line="360" w:lineRule="auto"/>
              <w:cnfStyle w:val="000000000000" w:firstRow="0" w:lastRow="0" w:firstColumn="0" w:lastColumn="0" w:oddVBand="0" w:evenVBand="0" w:oddHBand="0" w:evenHBand="0" w:firstRowFirstColumn="0" w:firstRowLastColumn="0" w:lastRowFirstColumn="0" w:lastRowLastColumn="0"/>
              <w:rPr>
                <w:rFonts w:cstheme="minorHAnsi"/>
                <w:b/>
              </w:rPr>
            </w:pPr>
            <w:r w:rsidRPr="00530A1D">
              <w:rPr>
                <w:rFonts w:cstheme="minorHAnsi"/>
              </w:rPr>
              <w:t xml:space="preserve">Support the SLCS during the training programme and follow-up to ensure SLCS successful implementation of training capstone(s) upon return to Sierra Leone </w:t>
            </w:r>
          </w:p>
        </w:tc>
        <w:tc>
          <w:tcPr>
            <w:cnfStyle w:val="000010000000" w:firstRow="0" w:lastRow="0" w:firstColumn="0" w:lastColumn="0" w:oddVBand="1" w:evenVBand="0" w:oddHBand="0" w:evenHBand="0" w:firstRowFirstColumn="0" w:firstRowLastColumn="0" w:lastRowFirstColumn="0" w:lastRowLastColumn="0"/>
            <w:tcW w:w="812" w:type="pct"/>
            <w:tcBorders>
              <w:top w:val="single" w:sz="8" w:space="0" w:color="FFFFFF" w:themeColor="background1"/>
            </w:tcBorders>
            <w:shd w:val="clear" w:color="auto" w:fill="auto"/>
          </w:tcPr>
          <w:p w14:paraId="6719D8B6" w14:textId="08768B80" w:rsidR="00530A1D" w:rsidRDefault="00530A1D" w:rsidP="00530A1D">
            <w:r>
              <w:t>Travel and DSA</w:t>
            </w:r>
          </w:p>
        </w:tc>
        <w:tc>
          <w:tcPr>
            <w:tcW w:w="810" w:type="pct"/>
            <w:tcBorders>
              <w:top w:val="single" w:sz="8" w:space="0" w:color="FFFFFF" w:themeColor="background1"/>
            </w:tcBorders>
            <w:shd w:val="clear" w:color="auto" w:fill="auto"/>
          </w:tcPr>
          <w:p w14:paraId="659B9D0D" w14:textId="695BAAB6" w:rsidR="00530A1D" w:rsidRDefault="00530A1D" w:rsidP="00530A1D">
            <w:pPr>
              <w:cnfStyle w:val="000000000000" w:firstRow="0" w:lastRow="0" w:firstColumn="0" w:lastColumn="0" w:oddVBand="0" w:evenVBand="0" w:oddHBand="0" w:evenHBand="0" w:firstRowFirstColumn="0" w:firstRowLastColumn="0" w:lastRowFirstColumn="0" w:lastRowLastColumn="0"/>
            </w:pPr>
            <w:r>
              <w:t>LSA</w:t>
            </w:r>
          </w:p>
        </w:tc>
      </w:tr>
      <w:tr w:rsidR="00530A1D" w14:paraId="1891BC5D" w14:textId="77777777" w:rsidTr="0053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Borders>
              <w:top w:val="single" w:sz="8" w:space="0" w:color="FFFFFF" w:themeColor="background1"/>
            </w:tcBorders>
          </w:tcPr>
          <w:p w14:paraId="70FC960F" w14:textId="7AC4D1FD" w:rsidR="00530A1D" w:rsidRDefault="00530A1D" w:rsidP="00530A1D">
            <w:r w:rsidRPr="00991A05">
              <w:rPr>
                <w:rFonts w:cs="Times New Roman"/>
              </w:rPr>
              <w:t>14 – 16 November 2018</w:t>
            </w:r>
          </w:p>
        </w:tc>
        <w:tc>
          <w:tcPr>
            <w:cnfStyle w:val="000010000000" w:firstRow="0" w:lastRow="0" w:firstColumn="0" w:lastColumn="0" w:oddVBand="1" w:evenVBand="0" w:oddHBand="0" w:evenHBand="0" w:firstRowFirstColumn="0" w:firstRowLastColumn="0" w:lastRowFirstColumn="0" w:lastRowLastColumn="0"/>
            <w:tcW w:w="592" w:type="pct"/>
            <w:tcBorders>
              <w:top w:val="single" w:sz="8" w:space="0" w:color="FFFFFF" w:themeColor="background1"/>
            </w:tcBorders>
          </w:tcPr>
          <w:p w14:paraId="2515B9FB" w14:textId="11777933" w:rsidR="00530A1D" w:rsidRDefault="00530A1D" w:rsidP="00530A1D">
            <w:r>
              <w:t xml:space="preserve">INL Output 1 and 2 and </w:t>
            </w:r>
            <w:proofErr w:type="spellStart"/>
            <w:r>
              <w:t>RoL</w:t>
            </w:r>
            <w:proofErr w:type="spellEnd"/>
            <w:r>
              <w:t xml:space="preserve"> Output 2 and 3</w:t>
            </w:r>
          </w:p>
        </w:tc>
        <w:tc>
          <w:tcPr>
            <w:tcW w:w="2154" w:type="pct"/>
            <w:tcBorders>
              <w:top w:val="single" w:sz="8" w:space="0" w:color="FFFFFF" w:themeColor="background1"/>
            </w:tcBorders>
          </w:tcPr>
          <w:p w14:paraId="4D8CA7D3" w14:textId="6BB8C6DA" w:rsidR="00530A1D" w:rsidRDefault="00530A1D" w:rsidP="00530A1D">
            <w:pPr>
              <w:cnfStyle w:val="000000100000" w:firstRow="0" w:lastRow="0" w:firstColumn="0" w:lastColumn="0" w:oddVBand="0" w:evenVBand="0" w:oddHBand="1" w:evenHBand="0" w:firstRowFirstColumn="0" w:firstRowLastColumn="0" w:lastRowFirstColumn="0" w:lastRowLastColumn="0"/>
            </w:pPr>
            <w:r>
              <w:rPr>
                <w:rFonts w:cstheme="minorHAnsi"/>
                <w:color w:val="000000" w:themeColor="text1"/>
              </w:rPr>
              <w:t>Monitoring project activities under the From Prisons to Corrections and Rule of Law projects</w:t>
            </w:r>
            <w:r w:rsidR="00986053">
              <w:rPr>
                <w:rFonts w:cstheme="minorHAnsi"/>
                <w:color w:val="000000" w:themeColor="text1"/>
              </w:rPr>
              <w:t xml:space="preserve"> South and East</w:t>
            </w:r>
          </w:p>
        </w:tc>
        <w:tc>
          <w:tcPr>
            <w:cnfStyle w:val="000010000000" w:firstRow="0" w:lastRow="0" w:firstColumn="0" w:lastColumn="0" w:oddVBand="1" w:evenVBand="0" w:oddHBand="0" w:evenHBand="0" w:firstRowFirstColumn="0" w:firstRowLastColumn="0" w:lastRowFirstColumn="0" w:lastRowLastColumn="0"/>
            <w:tcW w:w="812" w:type="pct"/>
            <w:tcBorders>
              <w:top w:val="single" w:sz="8" w:space="0" w:color="FFFFFF" w:themeColor="background1"/>
            </w:tcBorders>
          </w:tcPr>
          <w:p w14:paraId="280F3B18" w14:textId="68E7BBD2" w:rsidR="00530A1D" w:rsidRDefault="00530A1D" w:rsidP="00530A1D">
            <w:r>
              <w:t>DSA and fuel</w:t>
            </w:r>
          </w:p>
        </w:tc>
        <w:tc>
          <w:tcPr>
            <w:tcW w:w="810" w:type="pct"/>
            <w:tcBorders>
              <w:top w:val="single" w:sz="8" w:space="0" w:color="FFFFFF" w:themeColor="background1"/>
            </w:tcBorders>
          </w:tcPr>
          <w:p w14:paraId="6B5AE1B5" w14:textId="77777777" w:rsidR="00530A1D" w:rsidRDefault="00530A1D" w:rsidP="00530A1D">
            <w:pPr>
              <w:cnfStyle w:val="000000100000" w:firstRow="0" w:lastRow="0" w:firstColumn="0" w:lastColumn="0" w:oddVBand="0" w:evenVBand="0" w:oddHBand="1" w:evenHBand="0" w:firstRowFirstColumn="0" w:firstRowLastColumn="0" w:lastRowFirstColumn="0" w:lastRowLastColumn="0"/>
            </w:pPr>
            <w:r>
              <w:t>LSA</w:t>
            </w:r>
          </w:p>
        </w:tc>
      </w:tr>
      <w:tr w:rsidR="00530A1D" w14:paraId="789F28FB" w14:textId="77777777" w:rsidTr="00530A1D">
        <w:tc>
          <w:tcPr>
            <w:cnfStyle w:val="001000000000" w:firstRow="0" w:lastRow="0" w:firstColumn="1" w:lastColumn="0" w:oddVBand="0" w:evenVBand="0" w:oddHBand="0" w:evenHBand="0" w:firstRowFirstColumn="0" w:firstRowLastColumn="0" w:lastRowFirstColumn="0" w:lastRowLastColumn="0"/>
            <w:tcW w:w="632" w:type="pct"/>
          </w:tcPr>
          <w:p w14:paraId="29F40CEF" w14:textId="2AB1816C" w:rsidR="00530A1D" w:rsidRDefault="00530A1D" w:rsidP="00530A1D">
            <w:r w:rsidRPr="00991A05">
              <w:rPr>
                <w:rFonts w:cs="Times New Roman"/>
              </w:rPr>
              <w:t>21 - 23 November 2018</w:t>
            </w:r>
            <w:r w:rsidRPr="00991A05">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592" w:type="pct"/>
          </w:tcPr>
          <w:p w14:paraId="12A0FBCD" w14:textId="77777777" w:rsidR="00530A1D" w:rsidRDefault="00530A1D" w:rsidP="00530A1D">
            <w:r>
              <w:t>Output 3</w:t>
            </w:r>
          </w:p>
        </w:tc>
        <w:tc>
          <w:tcPr>
            <w:tcW w:w="2154" w:type="pct"/>
          </w:tcPr>
          <w:p w14:paraId="44E8AC2F" w14:textId="76BED92F" w:rsidR="00530A1D" w:rsidRDefault="00530A1D" w:rsidP="00530A1D">
            <w:pPr>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rPr>
              <w:t>Monitoring project activities under the From Prisons to Corrections and Rule of Law projects</w:t>
            </w:r>
            <w:r w:rsidR="00986053">
              <w:rPr>
                <w:rFonts w:cstheme="minorHAnsi"/>
                <w:color w:val="000000" w:themeColor="text1"/>
              </w:rPr>
              <w:t xml:space="preserve"> North and East</w:t>
            </w:r>
          </w:p>
        </w:tc>
        <w:tc>
          <w:tcPr>
            <w:cnfStyle w:val="000010000000" w:firstRow="0" w:lastRow="0" w:firstColumn="0" w:lastColumn="0" w:oddVBand="1" w:evenVBand="0" w:oddHBand="0" w:evenHBand="0" w:firstRowFirstColumn="0" w:firstRowLastColumn="0" w:lastRowFirstColumn="0" w:lastRowLastColumn="0"/>
            <w:tcW w:w="812" w:type="pct"/>
          </w:tcPr>
          <w:p w14:paraId="2D225035" w14:textId="01C09992" w:rsidR="00530A1D" w:rsidRDefault="00530A1D" w:rsidP="00530A1D">
            <w:r>
              <w:t>DSA and fuel</w:t>
            </w:r>
          </w:p>
        </w:tc>
        <w:tc>
          <w:tcPr>
            <w:tcW w:w="810" w:type="pct"/>
          </w:tcPr>
          <w:p w14:paraId="186BBF86" w14:textId="77777777" w:rsidR="00530A1D" w:rsidRDefault="00530A1D" w:rsidP="00530A1D">
            <w:pPr>
              <w:cnfStyle w:val="000000000000" w:firstRow="0" w:lastRow="0" w:firstColumn="0" w:lastColumn="0" w:oddVBand="0" w:evenVBand="0" w:oddHBand="0" w:evenHBand="0" w:firstRowFirstColumn="0" w:firstRowLastColumn="0" w:lastRowFirstColumn="0" w:lastRowLastColumn="0"/>
            </w:pPr>
            <w:r>
              <w:t>LSA</w:t>
            </w:r>
          </w:p>
        </w:tc>
      </w:tr>
      <w:tr w:rsidR="00530A1D" w14:paraId="0FC971C5" w14:textId="77777777" w:rsidTr="0053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Pr>
          <w:p w14:paraId="2187AB27" w14:textId="1387EB41" w:rsidR="00530A1D" w:rsidRDefault="00AB322B" w:rsidP="00530A1D">
            <w:r>
              <w:t xml:space="preserve">27 </w:t>
            </w:r>
            <w:r w:rsidR="00994143">
              <w:t>June – 5 July 2018</w:t>
            </w:r>
          </w:p>
        </w:tc>
        <w:tc>
          <w:tcPr>
            <w:cnfStyle w:val="000010000000" w:firstRow="0" w:lastRow="0" w:firstColumn="0" w:lastColumn="0" w:oddVBand="1" w:evenVBand="0" w:oddHBand="0" w:evenHBand="0" w:firstRowFirstColumn="0" w:firstRowLastColumn="0" w:lastRowFirstColumn="0" w:lastRowLastColumn="0"/>
            <w:tcW w:w="592" w:type="pct"/>
          </w:tcPr>
          <w:p w14:paraId="6CBDC58A" w14:textId="00474E72" w:rsidR="00530A1D" w:rsidRDefault="00994143" w:rsidP="00530A1D">
            <w:r>
              <w:t xml:space="preserve">INL Output </w:t>
            </w:r>
            <w:r w:rsidR="002D4F3C">
              <w:t>3</w:t>
            </w:r>
          </w:p>
        </w:tc>
        <w:tc>
          <w:tcPr>
            <w:tcW w:w="2154" w:type="pct"/>
          </w:tcPr>
          <w:p w14:paraId="47503F2F" w14:textId="6F5A55D4" w:rsidR="00530A1D" w:rsidRPr="009F36DC" w:rsidRDefault="009F36DC" w:rsidP="00530A1D">
            <w:pPr>
              <w:jc w:val="both"/>
              <w:cnfStyle w:val="000000100000" w:firstRow="0" w:lastRow="0" w:firstColumn="0" w:lastColumn="0" w:oddVBand="0" w:evenVBand="0" w:oddHBand="1" w:evenHBand="0" w:firstRowFirstColumn="0" w:firstRowLastColumn="0" w:lastRowFirstColumn="0" w:lastRowLastColumn="0"/>
              <w:rPr>
                <w:rFonts w:ascii="Calibri" w:hAnsi="Calibri" w:cs="Aharoni"/>
              </w:rPr>
            </w:pPr>
            <w:r>
              <w:rPr>
                <w:rFonts w:ascii="Calibri" w:hAnsi="Calibri" w:cs="Aharoni"/>
              </w:rPr>
              <w:t>Monitoring of SLCS refurbishment status and disbursement of funds to contractors</w:t>
            </w:r>
          </w:p>
        </w:tc>
        <w:tc>
          <w:tcPr>
            <w:cnfStyle w:val="000010000000" w:firstRow="0" w:lastRow="0" w:firstColumn="0" w:lastColumn="0" w:oddVBand="1" w:evenVBand="0" w:oddHBand="0" w:evenHBand="0" w:firstRowFirstColumn="0" w:firstRowLastColumn="0" w:lastRowFirstColumn="0" w:lastRowLastColumn="0"/>
            <w:tcW w:w="812" w:type="pct"/>
          </w:tcPr>
          <w:p w14:paraId="6C94D83F" w14:textId="72CCED3A" w:rsidR="00530A1D" w:rsidRDefault="00530A1D" w:rsidP="00530A1D">
            <w:r>
              <w:t>DSA</w:t>
            </w:r>
            <w:r w:rsidR="00994143">
              <w:t xml:space="preserve"> and fuel</w:t>
            </w:r>
          </w:p>
        </w:tc>
        <w:tc>
          <w:tcPr>
            <w:tcW w:w="810" w:type="pct"/>
          </w:tcPr>
          <w:p w14:paraId="2538D17D" w14:textId="77777777" w:rsidR="00530A1D" w:rsidRDefault="00530A1D" w:rsidP="00530A1D">
            <w:pPr>
              <w:cnfStyle w:val="000000100000" w:firstRow="0" w:lastRow="0" w:firstColumn="0" w:lastColumn="0" w:oddVBand="0" w:evenVBand="0" w:oddHBand="1" w:evenHBand="0" w:firstRowFirstColumn="0" w:firstRowLastColumn="0" w:lastRowFirstColumn="0" w:lastRowLastColumn="0"/>
            </w:pPr>
            <w:r>
              <w:t>SJ</w:t>
            </w:r>
          </w:p>
        </w:tc>
      </w:tr>
      <w:tr w:rsidR="00530A1D" w14:paraId="50CC7C7E" w14:textId="77777777" w:rsidTr="00530A1D">
        <w:tc>
          <w:tcPr>
            <w:cnfStyle w:val="001000000000" w:firstRow="0" w:lastRow="0" w:firstColumn="1" w:lastColumn="0" w:oddVBand="0" w:evenVBand="0" w:oddHBand="0" w:evenHBand="0" w:firstRowFirstColumn="0" w:firstRowLastColumn="0" w:lastRowFirstColumn="0" w:lastRowLastColumn="0"/>
            <w:tcW w:w="632" w:type="pct"/>
          </w:tcPr>
          <w:p w14:paraId="2C3669CC" w14:textId="77777777" w:rsidR="00530A1D" w:rsidRDefault="00530A1D" w:rsidP="00530A1D"/>
          <w:p w14:paraId="3E8591C6" w14:textId="2F56C6B2" w:rsidR="00530A1D" w:rsidRDefault="00B13548" w:rsidP="00530A1D">
            <w:r>
              <w:t>10 – 15/ 2018</w:t>
            </w:r>
          </w:p>
        </w:tc>
        <w:tc>
          <w:tcPr>
            <w:cnfStyle w:val="000010000000" w:firstRow="0" w:lastRow="0" w:firstColumn="0" w:lastColumn="0" w:oddVBand="1" w:evenVBand="0" w:oddHBand="0" w:evenHBand="0" w:firstRowFirstColumn="0" w:firstRowLastColumn="0" w:lastRowFirstColumn="0" w:lastRowLastColumn="0"/>
            <w:tcW w:w="592" w:type="pct"/>
          </w:tcPr>
          <w:p w14:paraId="25362A87" w14:textId="0B55AA9F" w:rsidR="00530A1D" w:rsidRDefault="00B13548" w:rsidP="00530A1D">
            <w:r>
              <w:t>INL Output 3</w:t>
            </w:r>
          </w:p>
        </w:tc>
        <w:tc>
          <w:tcPr>
            <w:tcW w:w="2154" w:type="pct"/>
          </w:tcPr>
          <w:p w14:paraId="2A0A4F77" w14:textId="4CB8F300" w:rsidR="00530A1D" w:rsidRDefault="00530A1D" w:rsidP="00530A1D">
            <w:pPr>
              <w:cnfStyle w:val="000000000000" w:firstRow="0" w:lastRow="0" w:firstColumn="0" w:lastColumn="0" w:oddVBand="0" w:evenVBand="0" w:oddHBand="0" w:evenHBand="0" w:firstRowFirstColumn="0" w:firstRowLastColumn="0" w:lastRowFirstColumn="0" w:lastRowLastColumn="0"/>
            </w:pPr>
            <w:r>
              <w:t>Monitoring project</w:t>
            </w:r>
            <w:r w:rsidR="00745C12">
              <w:t xml:space="preserve"> refurbishment of Correctional Facilities </w:t>
            </w:r>
            <w:proofErr w:type="spellStart"/>
            <w:r w:rsidR="00745C12">
              <w:t>Kono</w:t>
            </w:r>
            <w:proofErr w:type="spellEnd"/>
            <w:r w:rsidR="00745C12">
              <w:t xml:space="preserve">, Kenema, Bo, </w:t>
            </w:r>
            <w:proofErr w:type="spellStart"/>
            <w:r w:rsidR="00745C12">
              <w:t>Kambia</w:t>
            </w:r>
            <w:proofErr w:type="spellEnd"/>
            <w:r w:rsidR="00745C12">
              <w:t xml:space="preserve">, Port </w:t>
            </w:r>
            <w:proofErr w:type="spellStart"/>
            <w:r w:rsidR="00745C12">
              <w:t>Loko</w:t>
            </w:r>
            <w:proofErr w:type="spellEnd"/>
            <w:r w:rsidR="00745C12">
              <w:t xml:space="preserve">, Waterloo and </w:t>
            </w:r>
            <w:proofErr w:type="spellStart"/>
            <w:r w:rsidR="00745C12">
              <w:t>Makeni</w:t>
            </w:r>
            <w:proofErr w:type="spellEnd"/>
          </w:p>
        </w:tc>
        <w:tc>
          <w:tcPr>
            <w:cnfStyle w:val="000010000000" w:firstRow="0" w:lastRow="0" w:firstColumn="0" w:lastColumn="0" w:oddVBand="1" w:evenVBand="0" w:oddHBand="0" w:evenHBand="0" w:firstRowFirstColumn="0" w:firstRowLastColumn="0" w:lastRowFirstColumn="0" w:lastRowLastColumn="0"/>
            <w:tcW w:w="812" w:type="pct"/>
          </w:tcPr>
          <w:p w14:paraId="68975A93" w14:textId="77777777" w:rsidR="00530A1D" w:rsidRDefault="00530A1D" w:rsidP="00530A1D"/>
          <w:p w14:paraId="117AAB26" w14:textId="64C5EA83" w:rsidR="00530A1D" w:rsidRDefault="00530A1D" w:rsidP="00530A1D">
            <w:r>
              <w:t>DSA</w:t>
            </w:r>
            <w:r w:rsidR="00745C12">
              <w:t xml:space="preserve"> and fuel</w:t>
            </w:r>
          </w:p>
        </w:tc>
        <w:tc>
          <w:tcPr>
            <w:tcW w:w="810" w:type="pct"/>
          </w:tcPr>
          <w:p w14:paraId="2A0479F1" w14:textId="77777777" w:rsidR="00530A1D" w:rsidRDefault="00530A1D" w:rsidP="00530A1D">
            <w:pPr>
              <w:cnfStyle w:val="000000000000" w:firstRow="0" w:lastRow="0" w:firstColumn="0" w:lastColumn="0" w:oddVBand="0" w:evenVBand="0" w:oddHBand="0" w:evenHBand="0" w:firstRowFirstColumn="0" w:firstRowLastColumn="0" w:lastRowFirstColumn="0" w:lastRowLastColumn="0"/>
            </w:pPr>
          </w:p>
          <w:p w14:paraId="08C6E1AE" w14:textId="77777777" w:rsidR="00530A1D" w:rsidRDefault="00530A1D" w:rsidP="00530A1D">
            <w:pPr>
              <w:cnfStyle w:val="000000000000" w:firstRow="0" w:lastRow="0" w:firstColumn="0" w:lastColumn="0" w:oddVBand="0" w:evenVBand="0" w:oddHBand="0" w:evenHBand="0" w:firstRowFirstColumn="0" w:firstRowLastColumn="0" w:lastRowFirstColumn="0" w:lastRowLastColumn="0"/>
            </w:pPr>
            <w:r>
              <w:t>MAC</w:t>
            </w:r>
          </w:p>
        </w:tc>
      </w:tr>
      <w:tr w:rsidR="00530A1D" w14:paraId="3D72D59B" w14:textId="77777777" w:rsidTr="0053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Pr>
          <w:p w14:paraId="4FD0D506" w14:textId="77777777" w:rsidR="00530A1D" w:rsidRDefault="00530A1D" w:rsidP="00530A1D">
            <w:r>
              <w:t>27/9</w:t>
            </w:r>
          </w:p>
        </w:tc>
        <w:tc>
          <w:tcPr>
            <w:cnfStyle w:val="000010000000" w:firstRow="0" w:lastRow="0" w:firstColumn="0" w:lastColumn="0" w:oddVBand="1" w:evenVBand="0" w:oddHBand="0" w:evenHBand="0" w:firstRowFirstColumn="0" w:firstRowLastColumn="0" w:lastRowFirstColumn="0" w:lastRowLastColumn="0"/>
            <w:tcW w:w="592" w:type="pct"/>
          </w:tcPr>
          <w:p w14:paraId="19892C8F" w14:textId="77777777" w:rsidR="00530A1D" w:rsidRDefault="00530A1D" w:rsidP="00530A1D">
            <w:r>
              <w:t>ALL</w:t>
            </w:r>
          </w:p>
        </w:tc>
        <w:tc>
          <w:tcPr>
            <w:tcW w:w="2154" w:type="pct"/>
          </w:tcPr>
          <w:p w14:paraId="3E7F3A93" w14:textId="77777777" w:rsidR="00530A1D" w:rsidRDefault="00530A1D" w:rsidP="00530A1D">
            <w:pPr>
              <w:cnfStyle w:val="000000100000" w:firstRow="0" w:lastRow="0" w:firstColumn="0" w:lastColumn="0" w:oddVBand="0" w:evenVBand="0" w:oddHBand="1" w:evenHBand="0" w:firstRowFirstColumn="0" w:firstRowLastColumn="0" w:lastRowFirstColumn="0" w:lastRowLastColumn="0"/>
            </w:pPr>
            <w:r>
              <w:t>Project Board – Rule of Law and INL</w:t>
            </w:r>
          </w:p>
        </w:tc>
        <w:tc>
          <w:tcPr>
            <w:cnfStyle w:val="000010000000" w:firstRow="0" w:lastRow="0" w:firstColumn="0" w:lastColumn="0" w:oddVBand="1" w:evenVBand="0" w:oddHBand="0" w:evenHBand="0" w:firstRowFirstColumn="0" w:firstRowLastColumn="0" w:lastRowFirstColumn="0" w:lastRowLastColumn="0"/>
            <w:tcW w:w="812" w:type="pct"/>
          </w:tcPr>
          <w:p w14:paraId="31F6DDF7" w14:textId="77777777" w:rsidR="00530A1D" w:rsidRDefault="00530A1D" w:rsidP="00530A1D">
            <w:r>
              <w:t>N/A</w:t>
            </w:r>
          </w:p>
        </w:tc>
        <w:tc>
          <w:tcPr>
            <w:tcW w:w="810" w:type="pct"/>
          </w:tcPr>
          <w:p w14:paraId="66AE07EC" w14:textId="77777777" w:rsidR="00530A1D" w:rsidRDefault="00530A1D" w:rsidP="00530A1D">
            <w:pPr>
              <w:cnfStyle w:val="000000100000" w:firstRow="0" w:lastRow="0" w:firstColumn="0" w:lastColumn="0" w:oddVBand="0" w:evenVBand="0" w:oddHBand="1" w:evenHBand="0" w:firstRowFirstColumn="0" w:firstRowLastColumn="0" w:lastRowFirstColumn="0" w:lastRowLastColumn="0"/>
            </w:pPr>
            <w:r>
              <w:t>ALL</w:t>
            </w:r>
          </w:p>
        </w:tc>
      </w:tr>
      <w:tr w:rsidR="00530A1D" w14:paraId="4661701C" w14:textId="77777777" w:rsidTr="00530A1D">
        <w:tc>
          <w:tcPr>
            <w:cnfStyle w:val="001000000000" w:firstRow="0" w:lastRow="0" w:firstColumn="1" w:lastColumn="0" w:oddVBand="0" w:evenVBand="0" w:oddHBand="0" w:evenHBand="0" w:firstRowFirstColumn="0" w:firstRowLastColumn="0" w:lastRowFirstColumn="0" w:lastRowLastColumn="0"/>
            <w:tcW w:w="632" w:type="pct"/>
          </w:tcPr>
          <w:p w14:paraId="79797239" w14:textId="77777777" w:rsidR="00530A1D" w:rsidRDefault="00530A1D" w:rsidP="00530A1D">
            <w:r>
              <w:t>13-16/11</w:t>
            </w:r>
          </w:p>
        </w:tc>
        <w:tc>
          <w:tcPr>
            <w:cnfStyle w:val="000010000000" w:firstRow="0" w:lastRow="0" w:firstColumn="0" w:lastColumn="0" w:oddVBand="1" w:evenVBand="0" w:oddHBand="0" w:evenHBand="0" w:firstRowFirstColumn="0" w:firstRowLastColumn="0" w:lastRowFirstColumn="0" w:lastRowLastColumn="0"/>
            <w:tcW w:w="592" w:type="pct"/>
          </w:tcPr>
          <w:p w14:paraId="431FE985" w14:textId="77777777" w:rsidR="00530A1D" w:rsidRDefault="00530A1D" w:rsidP="00530A1D">
            <w:r>
              <w:t>Output 3</w:t>
            </w:r>
          </w:p>
        </w:tc>
        <w:tc>
          <w:tcPr>
            <w:tcW w:w="2154" w:type="pct"/>
          </w:tcPr>
          <w:p w14:paraId="3A4E740D" w14:textId="77777777" w:rsidR="00530A1D" w:rsidRDefault="00530A1D" w:rsidP="00530A1D">
            <w:pPr>
              <w:cnfStyle w:val="000000000000" w:firstRow="0" w:lastRow="0" w:firstColumn="0" w:lastColumn="0" w:oddVBand="0" w:evenVBand="0" w:oddHBand="0" w:evenHBand="0" w:firstRowFirstColumn="0" w:firstRowLastColumn="0" w:lastRowFirstColumn="0" w:lastRowLastColumn="0"/>
            </w:pPr>
            <w:r>
              <w:t>Monitoring and participation in Training of Trainers – Judiciary new JLTI bail and sentencing for CSO Makeni, Kenema and Bo</w:t>
            </w:r>
          </w:p>
        </w:tc>
        <w:tc>
          <w:tcPr>
            <w:cnfStyle w:val="000010000000" w:firstRow="0" w:lastRow="0" w:firstColumn="0" w:lastColumn="0" w:oddVBand="1" w:evenVBand="0" w:oddHBand="0" w:evenHBand="0" w:firstRowFirstColumn="0" w:firstRowLastColumn="0" w:lastRowFirstColumn="0" w:lastRowLastColumn="0"/>
            <w:tcW w:w="812" w:type="pct"/>
          </w:tcPr>
          <w:p w14:paraId="6EC6DD4D" w14:textId="77777777" w:rsidR="00530A1D" w:rsidRDefault="00530A1D" w:rsidP="00530A1D">
            <w:r>
              <w:t>DSA</w:t>
            </w:r>
          </w:p>
        </w:tc>
        <w:tc>
          <w:tcPr>
            <w:tcW w:w="810" w:type="pct"/>
          </w:tcPr>
          <w:p w14:paraId="5E24D738" w14:textId="77777777" w:rsidR="00530A1D" w:rsidRDefault="00530A1D" w:rsidP="00530A1D">
            <w:pPr>
              <w:cnfStyle w:val="000000000000" w:firstRow="0" w:lastRow="0" w:firstColumn="0" w:lastColumn="0" w:oddVBand="0" w:evenVBand="0" w:oddHBand="0" w:evenHBand="0" w:firstRowFirstColumn="0" w:firstRowLastColumn="0" w:lastRowFirstColumn="0" w:lastRowLastColumn="0"/>
            </w:pPr>
            <w:r>
              <w:t>CWN</w:t>
            </w:r>
          </w:p>
        </w:tc>
      </w:tr>
      <w:tr w:rsidR="00530A1D" w14:paraId="4C09A6D1" w14:textId="77777777" w:rsidTr="00530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tcPr>
          <w:p w14:paraId="7CE95BB3" w14:textId="4AB2A351" w:rsidR="00530A1D" w:rsidRDefault="00530A1D" w:rsidP="00530A1D">
            <w:r>
              <w:t>22/11</w:t>
            </w:r>
          </w:p>
        </w:tc>
        <w:tc>
          <w:tcPr>
            <w:cnfStyle w:val="000010000000" w:firstRow="0" w:lastRow="0" w:firstColumn="0" w:lastColumn="0" w:oddVBand="1" w:evenVBand="0" w:oddHBand="0" w:evenHBand="0" w:firstRowFirstColumn="0" w:firstRowLastColumn="0" w:lastRowFirstColumn="0" w:lastRowLastColumn="0"/>
            <w:tcW w:w="592" w:type="pct"/>
          </w:tcPr>
          <w:p w14:paraId="1F6FD6C5" w14:textId="53AA1D0F" w:rsidR="00530A1D" w:rsidRDefault="00530A1D" w:rsidP="00530A1D">
            <w:r>
              <w:t>Output 3</w:t>
            </w:r>
          </w:p>
        </w:tc>
        <w:tc>
          <w:tcPr>
            <w:tcW w:w="2154" w:type="pct"/>
          </w:tcPr>
          <w:p w14:paraId="208EF70B" w14:textId="49052C45" w:rsidR="00530A1D" w:rsidRDefault="00530A1D" w:rsidP="00530A1D">
            <w:pPr>
              <w:cnfStyle w:val="000000100000" w:firstRow="0" w:lastRow="0" w:firstColumn="0" w:lastColumn="0" w:oddVBand="0" w:evenVBand="0" w:oddHBand="1" w:evenHBand="0" w:firstRowFirstColumn="0" w:firstRowLastColumn="0" w:lastRowFirstColumn="0" w:lastRowLastColumn="0"/>
            </w:pPr>
            <w:r>
              <w:t>Handing over of site to new contractor-Waterloo fencing and facility expansion</w:t>
            </w:r>
          </w:p>
        </w:tc>
        <w:tc>
          <w:tcPr>
            <w:cnfStyle w:val="000010000000" w:firstRow="0" w:lastRow="0" w:firstColumn="0" w:lastColumn="0" w:oddVBand="1" w:evenVBand="0" w:oddHBand="0" w:evenHBand="0" w:firstRowFirstColumn="0" w:firstRowLastColumn="0" w:lastRowFirstColumn="0" w:lastRowLastColumn="0"/>
            <w:tcW w:w="812" w:type="pct"/>
          </w:tcPr>
          <w:p w14:paraId="27A832AB" w14:textId="70F6687F" w:rsidR="00530A1D" w:rsidRDefault="00530A1D" w:rsidP="00530A1D">
            <w:r>
              <w:t>N/A</w:t>
            </w:r>
          </w:p>
        </w:tc>
        <w:tc>
          <w:tcPr>
            <w:tcW w:w="810" w:type="pct"/>
          </w:tcPr>
          <w:p w14:paraId="7AACA382" w14:textId="2CBC9635" w:rsidR="00530A1D" w:rsidRDefault="00530A1D" w:rsidP="00530A1D">
            <w:pPr>
              <w:cnfStyle w:val="000000100000" w:firstRow="0" w:lastRow="0" w:firstColumn="0" w:lastColumn="0" w:oddVBand="0" w:evenVBand="0" w:oddHBand="1" w:evenHBand="0" w:firstRowFirstColumn="0" w:firstRowLastColumn="0" w:lastRowFirstColumn="0" w:lastRowLastColumn="0"/>
            </w:pPr>
            <w:r>
              <w:t>CWN</w:t>
            </w:r>
          </w:p>
        </w:tc>
      </w:tr>
      <w:tr w:rsidR="00530A1D" w14:paraId="7AFD77BD" w14:textId="77777777" w:rsidTr="00530A1D">
        <w:tc>
          <w:tcPr>
            <w:cnfStyle w:val="001000000000" w:firstRow="0" w:lastRow="0" w:firstColumn="1" w:lastColumn="0" w:oddVBand="0" w:evenVBand="0" w:oddHBand="0" w:evenHBand="0" w:firstRowFirstColumn="0" w:firstRowLastColumn="0" w:lastRowFirstColumn="0" w:lastRowLastColumn="0"/>
            <w:tcW w:w="632" w:type="pct"/>
          </w:tcPr>
          <w:p w14:paraId="4F547D1F" w14:textId="2DDE62BE" w:rsidR="00530A1D" w:rsidRDefault="00530A1D" w:rsidP="00530A1D">
            <w:r>
              <w:lastRenderedPageBreak/>
              <w:t>5-9/11</w:t>
            </w:r>
          </w:p>
        </w:tc>
        <w:tc>
          <w:tcPr>
            <w:cnfStyle w:val="000010000000" w:firstRow="0" w:lastRow="0" w:firstColumn="0" w:lastColumn="0" w:oddVBand="1" w:evenVBand="0" w:oddHBand="0" w:evenHBand="0" w:firstRowFirstColumn="0" w:firstRowLastColumn="0" w:lastRowFirstColumn="0" w:lastRowLastColumn="0"/>
            <w:tcW w:w="592" w:type="pct"/>
          </w:tcPr>
          <w:p w14:paraId="7750EF37" w14:textId="3CFCA5F4" w:rsidR="00530A1D" w:rsidRDefault="00530A1D" w:rsidP="00530A1D">
            <w:r>
              <w:t>Output 3</w:t>
            </w:r>
          </w:p>
        </w:tc>
        <w:tc>
          <w:tcPr>
            <w:tcW w:w="2154" w:type="pct"/>
          </w:tcPr>
          <w:p w14:paraId="76F612D4" w14:textId="3C6397C0" w:rsidR="00530A1D" w:rsidRDefault="00530A1D" w:rsidP="00530A1D">
            <w:pPr>
              <w:cnfStyle w:val="000000000000" w:firstRow="0" w:lastRow="0" w:firstColumn="0" w:lastColumn="0" w:oddVBand="0" w:evenVBand="0" w:oddHBand="0" w:evenHBand="0" w:firstRowFirstColumn="0" w:firstRowLastColumn="0" w:lastRowFirstColumn="0" w:lastRowLastColumn="0"/>
            </w:pPr>
            <w:r>
              <w:t>Monitoring completed site and follow up on ongoing refurbishment-SLCS</w:t>
            </w:r>
          </w:p>
        </w:tc>
        <w:tc>
          <w:tcPr>
            <w:cnfStyle w:val="000010000000" w:firstRow="0" w:lastRow="0" w:firstColumn="0" w:lastColumn="0" w:oddVBand="1" w:evenVBand="0" w:oddHBand="0" w:evenHBand="0" w:firstRowFirstColumn="0" w:firstRowLastColumn="0" w:lastRowFirstColumn="0" w:lastRowLastColumn="0"/>
            <w:tcW w:w="812" w:type="pct"/>
          </w:tcPr>
          <w:p w14:paraId="593D46FA" w14:textId="4E2198BA" w:rsidR="00530A1D" w:rsidRDefault="00530A1D" w:rsidP="00530A1D">
            <w:r>
              <w:t>DSA</w:t>
            </w:r>
          </w:p>
        </w:tc>
        <w:tc>
          <w:tcPr>
            <w:tcW w:w="810" w:type="pct"/>
          </w:tcPr>
          <w:p w14:paraId="1ED8B752" w14:textId="36BFD9EA" w:rsidR="00530A1D" w:rsidRDefault="00530A1D" w:rsidP="00530A1D">
            <w:pPr>
              <w:cnfStyle w:val="000000000000" w:firstRow="0" w:lastRow="0" w:firstColumn="0" w:lastColumn="0" w:oddVBand="0" w:evenVBand="0" w:oddHBand="0" w:evenHBand="0" w:firstRowFirstColumn="0" w:firstRowLastColumn="0" w:lastRowFirstColumn="0" w:lastRowLastColumn="0"/>
            </w:pPr>
            <w:r>
              <w:t>CWN</w:t>
            </w:r>
          </w:p>
        </w:tc>
      </w:tr>
    </w:tbl>
    <w:p w14:paraId="740916D2" w14:textId="77777777" w:rsidR="00D34C5C" w:rsidRDefault="00D34C5C">
      <w:bookmarkStart w:id="24" w:name="_GoBack"/>
      <w:bookmarkEnd w:id="24"/>
      <w:r>
        <w:br w:type="page"/>
      </w:r>
    </w:p>
    <w:p w14:paraId="1BBD5D78" w14:textId="77777777" w:rsidR="00933065" w:rsidRDefault="00B45DBC" w:rsidP="009924BE">
      <w:pPr>
        <w:pStyle w:val="Heading1"/>
      </w:pPr>
      <w:bookmarkStart w:id="25" w:name="_Toc503736524"/>
      <w:r>
        <w:lastRenderedPageBreak/>
        <w:t>Annexes</w:t>
      </w:r>
      <w:bookmarkEnd w:id="25"/>
    </w:p>
    <w:p w14:paraId="4AB77CB7" w14:textId="77777777" w:rsidR="00856076" w:rsidRDefault="00B22DD5" w:rsidP="00046CFE">
      <w:pPr>
        <w:pStyle w:val="Subtitle"/>
      </w:pPr>
      <w:bookmarkStart w:id="26" w:name="_Toc401569396"/>
      <w:r>
        <w:t>Section 1</w:t>
      </w:r>
      <w:r w:rsidR="00134391">
        <w:t xml:space="preserve">: </w:t>
      </w:r>
      <w:bookmarkEnd w:id="26"/>
      <w:r w:rsidR="00B45DBC">
        <w:t xml:space="preserve">Planned activities for next </w:t>
      </w:r>
      <w:r w:rsidR="003B1E48">
        <w:t>year</w:t>
      </w:r>
    </w:p>
    <w:p w14:paraId="7C385430" w14:textId="77777777" w:rsidR="008C5F58" w:rsidRPr="008C5F58" w:rsidRDefault="00612A30" w:rsidP="008C5F58">
      <w:r>
        <w:t xml:space="preserve">Refer to </w:t>
      </w:r>
      <w:r w:rsidR="008C5F58">
        <w:t>AWP</w:t>
      </w:r>
      <w:r>
        <w:t xml:space="preserve">s, - </w:t>
      </w:r>
      <w:proofErr w:type="spellStart"/>
      <w:r>
        <w:t>RoL</w:t>
      </w:r>
      <w:proofErr w:type="spellEnd"/>
      <w:r>
        <w:t>, - From Prisons to Corrections and HRC</w:t>
      </w:r>
    </w:p>
    <w:p w14:paraId="1802C23B" w14:textId="77777777" w:rsidR="00134391" w:rsidRDefault="00B22DD5" w:rsidP="00046CFE">
      <w:pPr>
        <w:pStyle w:val="Subtitle"/>
      </w:pPr>
      <w:bookmarkStart w:id="27" w:name="_Toc401569397"/>
      <w:r>
        <w:t>Section 2</w:t>
      </w:r>
      <w:r w:rsidR="00134391">
        <w:t xml:space="preserve">: </w:t>
      </w:r>
      <w:bookmarkEnd w:id="27"/>
      <w:r w:rsidR="00B45DBC">
        <w:t>Combined Delivery Report</w:t>
      </w:r>
    </w:p>
    <w:p w14:paraId="3CE21099" w14:textId="77777777" w:rsidR="00856076" w:rsidRDefault="00B22DD5" w:rsidP="00046CFE">
      <w:pPr>
        <w:pStyle w:val="Subtitle"/>
      </w:pPr>
      <w:bookmarkStart w:id="28" w:name="_Toc401569398"/>
      <w:r>
        <w:t>Section 3</w:t>
      </w:r>
      <w:r w:rsidR="00134391" w:rsidRPr="00134391">
        <w:t xml:space="preserve">: Monitoring </w:t>
      </w:r>
      <w:r w:rsidR="003B1E48">
        <w:t xml:space="preserve">and Evaluation </w:t>
      </w:r>
      <w:r w:rsidR="00134391" w:rsidRPr="00134391">
        <w:t xml:space="preserve">Plan </w:t>
      </w:r>
      <w:bookmarkEnd w:id="28"/>
      <w:r w:rsidR="00B45DBC">
        <w:t xml:space="preserve">for next </w:t>
      </w:r>
      <w:r w:rsidR="003B1E48">
        <w:t>year</w:t>
      </w:r>
      <w:r w:rsidR="00B45DB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621"/>
        <w:gridCol w:w="1400"/>
        <w:gridCol w:w="1761"/>
        <w:gridCol w:w="1936"/>
      </w:tblGrid>
      <w:tr w:rsidR="00DD53FB" w:rsidRPr="007A4F15" w14:paraId="1B0BDB87" w14:textId="77777777" w:rsidTr="00CF7E3C">
        <w:tc>
          <w:tcPr>
            <w:tcW w:w="1632" w:type="dxa"/>
            <w:shd w:val="clear" w:color="auto" w:fill="auto"/>
            <w:vAlign w:val="center"/>
          </w:tcPr>
          <w:p w14:paraId="47A39C24"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Monitoring Activity</w:t>
            </w:r>
          </w:p>
        </w:tc>
        <w:tc>
          <w:tcPr>
            <w:tcW w:w="2621" w:type="dxa"/>
            <w:shd w:val="clear" w:color="auto" w:fill="auto"/>
            <w:vAlign w:val="center"/>
          </w:tcPr>
          <w:p w14:paraId="6AA9F3C2"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Purpose</w:t>
            </w:r>
          </w:p>
        </w:tc>
        <w:tc>
          <w:tcPr>
            <w:tcW w:w="1400" w:type="dxa"/>
            <w:shd w:val="clear" w:color="auto" w:fill="auto"/>
            <w:vAlign w:val="center"/>
          </w:tcPr>
          <w:p w14:paraId="14F93BC9"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Frequency</w:t>
            </w:r>
          </w:p>
        </w:tc>
        <w:tc>
          <w:tcPr>
            <w:tcW w:w="1761" w:type="dxa"/>
            <w:shd w:val="clear" w:color="auto" w:fill="auto"/>
            <w:vAlign w:val="center"/>
          </w:tcPr>
          <w:p w14:paraId="38774D7C"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Expected Action</w:t>
            </w:r>
          </w:p>
        </w:tc>
        <w:tc>
          <w:tcPr>
            <w:tcW w:w="1936" w:type="dxa"/>
            <w:shd w:val="clear" w:color="auto" w:fill="auto"/>
            <w:vAlign w:val="center"/>
          </w:tcPr>
          <w:p w14:paraId="53E4621E"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 xml:space="preserve">Partners </w:t>
            </w:r>
          </w:p>
          <w:p w14:paraId="7B94EB17" w14:textId="77777777" w:rsidR="00DD53FB" w:rsidRPr="007A4F15" w:rsidRDefault="00DD53FB" w:rsidP="008C5F58">
            <w:pPr>
              <w:spacing w:after="0"/>
              <w:jc w:val="center"/>
              <w:rPr>
                <w:rFonts w:asciiTheme="majorHAnsi" w:hAnsiTheme="majorHAnsi"/>
                <w:b/>
              </w:rPr>
            </w:pPr>
            <w:r w:rsidRPr="007A4F15">
              <w:rPr>
                <w:rFonts w:asciiTheme="majorHAnsi" w:hAnsiTheme="majorHAnsi"/>
                <w:b/>
              </w:rPr>
              <w:t>(if joint)</w:t>
            </w:r>
          </w:p>
        </w:tc>
      </w:tr>
      <w:tr w:rsidR="00DD53FB" w:rsidRPr="007A4F15" w14:paraId="2F5183C1" w14:textId="77777777" w:rsidTr="00CF7E3C">
        <w:tc>
          <w:tcPr>
            <w:tcW w:w="1632" w:type="dxa"/>
            <w:shd w:val="clear" w:color="auto" w:fill="auto"/>
            <w:vAlign w:val="center"/>
          </w:tcPr>
          <w:p w14:paraId="30F17B6C" w14:textId="77777777" w:rsidR="00DD53FB" w:rsidRPr="007A4F15" w:rsidRDefault="00DD53FB" w:rsidP="008C5F58">
            <w:pPr>
              <w:spacing w:after="0"/>
              <w:rPr>
                <w:rFonts w:asciiTheme="majorHAnsi" w:hAnsiTheme="majorHAnsi"/>
                <w:b/>
              </w:rPr>
            </w:pPr>
            <w:r w:rsidRPr="007A4F15">
              <w:rPr>
                <w:rFonts w:asciiTheme="majorHAnsi" w:hAnsiTheme="majorHAnsi"/>
                <w:b/>
              </w:rPr>
              <w:t>Track results progress</w:t>
            </w:r>
          </w:p>
        </w:tc>
        <w:tc>
          <w:tcPr>
            <w:tcW w:w="2621" w:type="dxa"/>
            <w:shd w:val="clear" w:color="auto" w:fill="auto"/>
          </w:tcPr>
          <w:p w14:paraId="3B18AC9C" w14:textId="77777777" w:rsidR="00DD53FB" w:rsidRPr="007A4F15" w:rsidRDefault="00DD53FB" w:rsidP="008C5F58">
            <w:pPr>
              <w:spacing w:after="0"/>
              <w:rPr>
                <w:rFonts w:asciiTheme="majorHAnsi" w:hAnsiTheme="majorHAnsi"/>
              </w:rPr>
            </w:pPr>
            <w:r w:rsidRPr="007A4F15">
              <w:rPr>
                <w:rFonts w:asciiTheme="majorHAnsi" w:hAnsiTheme="majorHAnsi" w:cs="Arial"/>
              </w:rPr>
              <w:t xml:space="preserve">Progress data against the results indicators in the RRF will be collected and </w:t>
            </w:r>
            <w:proofErr w:type="spellStart"/>
            <w:r w:rsidRPr="007A4F15">
              <w:rPr>
                <w:rFonts w:asciiTheme="majorHAnsi" w:hAnsiTheme="majorHAnsi" w:cs="Arial"/>
              </w:rPr>
              <w:t>analysed</w:t>
            </w:r>
            <w:proofErr w:type="spellEnd"/>
            <w:r w:rsidRPr="007A4F15">
              <w:rPr>
                <w:rFonts w:asciiTheme="majorHAnsi" w:hAnsiTheme="majorHAnsi" w:cs="Arial"/>
              </w:rPr>
              <w:t xml:space="preserve"> to assess the progress of the Project in achieving the agreed outputs.</w:t>
            </w:r>
          </w:p>
        </w:tc>
        <w:tc>
          <w:tcPr>
            <w:tcW w:w="1400" w:type="dxa"/>
            <w:shd w:val="clear" w:color="auto" w:fill="auto"/>
          </w:tcPr>
          <w:p w14:paraId="3CA2B65D" w14:textId="77777777" w:rsidR="00DD53FB" w:rsidRPr="007A4F15" w:rsidRDefault="00DD53FB" w:rsidP="008C5F58">
            <w:pPr>
              <w:spacing w:after="0"/>
              <w:rPr>
                <w:rFonts w:asciiTheme="majorHAnsi" w:hAnsiTheme="majorHAnsi"/>
              </w:rPr>
            </w:pPr>
            <w:r w:rsidRPr="007A4F15">
              <w:rPr>
                <w:rFonts w:asciiTheme="majorHAnsi" w:hAnsiTheme="majorHAnsi"/>
              </w:rPr>
              <w:t>Quarterly, or in the frequency required for each indicator.</w:t>
            </w:r>
          </w:p>
        </w:tc>
        <w:tc>
          <w:tcPr>
            <w:tcW w:w="1761" w:type="dxa"/>
            <w:shd w:val="clear" w:color="auto" w:fill="auto"/>
          </w:tcPr>
          <w:p w14:paraId="493AD185" w14:textId="77777777" w:rsidR="00DD53FB" w:rsidRPr="007A4F15" w:rsidRDefault="00DD53FB" w:rsidP="008C5F58">
            <w:pPr>
              <w:spacing w:after="0"/>
              <w:rPr>
                <w:rFonts w:asciiTheme="majorHAnsi" w:hAnsiTheme="majorHAnsi"/>
              </w:rPr>
            </w:pPr>
            <w:r w:rsidRPr="007A4F15">
              <w:rPr>
                <w:rFonts w:asciiTheme="majorHAnsi" w:hAnsiTheme="majorHAnsi" w:cs="Arial"/>
              </w:rPr>
              <w:t>Slower than expected progress will be addressed by Project Management.</w:t>
            </w:r>
          </w:p>
        </w:tc>
        <w:tc>
          <w:tcPr>
            <w:tcW w:w="1936" w:type="dxa"/>
            <w:shd w:val="clear" w:color="auto" w:fill="auto"/>
          </w:tcPr>
          <w:p w14:paraId="7084BCF2" w14:textId="77777777" w:rsidR="00DD53FB" w:rsidRPr="007A4F15" w:rsidRDefault="006578CF" w:rsidP="008C5F58">
            <w:pPr>
              <w:spacing w:after="0"/>
              <w:rPr>
                <w:rFonts w:asciiTheme="majorHAnsi" w:hAnsiTheme="majorHAnsi"/>
              </w:rPr>
            </w:pPr>
            <w:r>
              <w:rPr>
                <w:rFonts w:asciiTheme="majorHAnsi" w:hAnsiTheme="majorHAnsi"/>
              </w:rPr>
              <w:t>IPs having LOA and MCG expected to track progress diligently</w:t>
            </w:r>
          </w:p>
        </w:tc>
      </w:tr>
      <w:tr w:rsidR="00DD53FB" w:rsidRPr="007A4F15" w14:paraId="13E52781" w14:textId="77777777" w:rsidTr="00CF7E3C">
        <w:tc>
          <w:tcPr>
            <w:tcW w:w="1632" w:type="dxa"/>
            <w:shd w:val="clear" w:color="auto" w:fill="auto"/>
            <w:vAlign w:val="center"/>
          </w:tcPr>
          <w:p w14:paraId="6538560F" w14:textId="77777777" w:rsidR="00DD53FB" w:rsidRPr="007A4F15" w:rsidRDefault="00DD53FB" w:rsidP="008C5F58">
            <w:pPr>
              <w:spacing w:after="0"/>
              <w:rPr>
                <w:rFonts w:asciiTheme="majorHAnsi" w:hAnsiTheme="majorHAnsi"/>
                <w:b/>
              </w:rPr>
            </w:pPr>
            <w:r w:rsidRPr="007A4F15">
              <w:rPr>
                <w:rFonts w:asciiTheme="majorHAnsi" w:hAnsiTheme="majorHAnsi"/>
                <w:b/>
              </w:rPr>
              <w:t>Monitor and Manage Risk</w:t>
            </w:r>
          </w:p>
        </w:tc>
        <w:tc>
          <w:tcPr>
            <w:tcW w:w="2621" w:type="dxa"/>
            <w:shd w:val="clear" w:color="auto" w:fill="auto"/>
          </w:tcPr>
          <w:p w14:paraId="3D4A5A36" w14:textId="77777777" w:rsidR="00DD53FB" w:rsidRPr="007A4F15" w:rsidRDefault="00E448FD" w:rsidP="008C5F58">
            <w:pPr>
              <w:spacing w:after="0"/>
              <w:rPr>
                <w:rFonts w:asciiTheme="majorHAnsi" w:hAnsiTheme="majorHAnsi" w:cs="Arial"/>
              </w:rPr>
            </w:pPr>
            <w:r>
              <w:rPr>
                <w:rFonts w:asciiTheme="majorHAnsi" w:hAnsiTheme="majorHAnsi"/>
              </w:rPr>
              <w:t>Continue to i</w:t>
            </w:r>
            <w:r w:rsidR="00DD53FB" w:rsidRPr="007A4F15">
              <w:rPr>
                <w:rFonts w:asciiTheme="majorHAnsi" w:hAnsiTheme="majorHAnsi"/>
              </w:rPr>
              <w:t>dentify</w:t>
            </w:r>
            <w:r>
              <w:rPr>
                <w:rFonts w:asciiTheme="majorHAnsi" w:hAnsiTheme="majorHAnsi"/>
              </w:rPr>
              <w:t xml:space="preserve"> and monitor </w:t>
            </w:r>
            <w:r w:rsidR="00DD53FB" w:rsidRPr="007A4F15">
              <w:rPr>
                <w:rFonts w:asciiTheme="majorHAnsi" w:hAnsiTheme="majorHAnsi"/>
              </w:rPr>
              <w:t>risks that may threaten achievement of intended results.</w:t>
            </w:r>
          </w:p>
        </w:tc>
        <w:tc>
          <w:tcPr>
            <w:tcW w:w="1400" w:type="dxa"/>
            <w:shd w:val="clear" w:color="auto" w:fill="auto"/>
            <w:vAlign w:val="center"/>
          </w:tcPr>
          <w:p w14:paraId="68739E82" w14:textId="77777777" w:rsidR="00DD53FB" w:rsidRPr="007A4F15" w:rsidRDefault="00DD53FB" w:rsidP="008C5F58">
            <w:pPr>
              <w:spacing w:after="0"/>
              <w:jc w:val="center"/>
              <w:rPr>
                <w:rFonts w:asciiTheme="majorHAnsi" w:hAnsiTheme="majorHAnsi"/>
              </w:rPr>
            </w:pPr>
            <w:r w:rsidRPr="007A4F15">
              <w:rPr>
                <w:rFonts w:asciiTheme="majorHAnsi" w:hAnsiTheme="majorHAnsi"/>
              </w:rPr>
              <w:t>Quarterly</w:t>
            </w:r>
          </w:p>
        </w:tc>
        <w:tc>
          <w:tcPr>
            <w:tcW w:w="1761" w:type="dxa"/>
            <w:shd w:val="clear" w:color="auto" w:fill="auto"/>
          </w:tcPr>
          <w:p w14:paraId="3694D9B6" w14:textId="77777777" w:rsidR="00DD53FB" w:rsidRPr="007A4F15" w:rsidRDefault="00DD53FB" w:rsidP="008C5F58">
            <w:pPr>
              <w:spacing w:after="0"/>
              <w:rPr>
                <w:rFonts w:asciiTheme="majorHAnsi" w:hAnsiTheme="majorHAnsi"/>
              </w:rPr>
            </w:pPr>
            <w:r w:rsidRPr="007A4F15">
              <w:rPr>
                <w:rFonts w:asciiTheme="majorHAnsi" w:hAnsiTheme="majorHAnsi"/>
              </w:rPr>
              <w:t xml:space="preserve">Risks are identified by Project Management and actions are taken to manage risk. The risk log </w:t>
            </w:r>
            <w:r w:rsidR="006578CF">
              <w:rPr>
                <w:rFonts w:asciiTheme="majorHAnsi" w:hAnsiTheme="majorHAnsi"/>
              </w:rPr>
              <w:t xml:space="preserve">will be </w:t>
            </w:r>
            <w:r w:rsidRPr="007A4F15">
              <w:rPr>
                <w:rFonts w:asciiTheme="majorHAnsi" w:hAnsiTheme="majorHAnsi"/>
              </w:rPr>
              <w:t>maintained to keep track of identified risks and actions taken.</w:t>
            </w:r>
          </w:p>
        </w:tc>
        <w:tc>
          <w:tcPr>
            <w:tcW w:w="1936" w:type="dxa"/>
            <w:shd w:val="clear" w:color="auto" w:fill="auto"/>
          </w:tcPr>
          <w:p w14:paraId="0770F7F5" w14:textId="77777777" w:rsidR="00DD53FB" w:rsidRPr="007A4F15" w:rsidRDefault="00DD53FB" w:rsidP="008C5F58">
            <w:pPr>
              <w:spacing w:after="0"/>
              <w:rPr>
                <w:rFonts w:asciiTheme="majorHAnsi" w:hAnsiTheme="majorHAnsi"/>
              </w:rPr>
            </w:pPr>
          </w:p>
        </w:tc>
      </w:tr>
      <w:tr w:rsidR="00DD53FB" w:rsidRPr="007A4F15" w14:paraId="47565B52" w14:textId="77777777" w:rsidTr="00CF7E3C">
        <w:tc>
          <w:tcPr>
            <w:tcW w:w="1632" w:type="dxa"/>
            <w:shd w:val="clear" w:color="auto" w:fill="auto"/>
            <w:vAlign w:val="center"/>
          </w:tcPr>
          <w:p w14:paraId="59294DDD" w14:textId="77777777" w:rsidR="00DD53FB" w:rsidRPr="007A4F15" w:rsidRDefault="00DD53FB" w:rsidP="008C5F58">
            <w:pPr>
              <w:spacing w:after="0"/>
              <w:rPr>
                <w:rFonts w:asciiTheme="majorHAnsi" w:hAnsiTheme="majorHAnsi"/>
                <w:b/>
              </w:rPr>
            </w:pPr>
            <w:r w:rsidRPr="007A4F15">
              <w:rPr>
                <w:rFonts w:asciiTheme="majorHAnsi" w:hAnsiTheme="majorHAnsi"/>
                <w:b/>
              </w:rPr>
              <w:t xml:space="preserve">Learn </w:t>
            </w:r>
          </w:p>
        </w:tc>
        <w:tc>
          <w:tcPr>
            <w:tcW w:w="2621" w:type="dxa"/>
            <w:shd w:val="clear" w:color="auto" w:fill="auto"/>
            <w:vAlign w:val="center"/>
          </w:tcPr>
          <w:p w14:paraId="209CF480" w14:textId="77777777" w:rsidR="00DD53FB" w:rsidRPr="007A4F15" w:rsidRDefault="00DD53FB" w:rsidP="008C5F58">
            <w:pPr>
              <w:spacing w:after="0"/>
              <w:rPr>
                <w:rFonts w:asciiTheme="majorHAnsi" w:hAnsiTheme="majorHAnsi"/>
              </w:rPr>
            </w:pPr>
            <w:r w:rsidRPr="007A4F15">
              <w:rPr>
                <w:rFonts w:asciiTheme="majorHAnsi" w:hAnsiTheme="majorHAnsi" w:cs="Arial"/>
              </w:rPr>
              <w:t>Knowledge, good practices and lessons will be captured regularly, as well as actively sourced from other projects/programmes and partners and integrated back into the Project.</w:t>
            </w:r>
          </w:p>
        </w:tc>
        <w:tc>
          <w:tcPr>
            <w:tcW w:w="1400" w:type="dxa"/>
            <w:shd w:val="clear" w:color="auto" w:fill="auto"/>
            <w:vAlign w:val="center"/>
          </w:tcPr>
          <w:p w14:paraId="405C847A" w14:textId="77777777" w:rsidR="00DD53FB" w:rsidRDefault="00DD53FB" w:rsidP="008C5F58">
            <w:pPr>
              <w:spacing w:after="0"/>
              <w:jc w:val="center"/>
              <w:rPr>
                <w:rFonts w:asciiTheme="majorHAnsi" w:hAnsiTheme="majorHAnsi"/>
              </w:rPr>
            </w:pPr>
            <w:r>
              <w:rPr>
                <w:rFonts w:asciiTheme="majorHAnsi" w:hAnsiTheme="majorHAnsi"/>
              </w:rPr>
              <w:t xml:space="preserve">Midterm Review June/July 2018 and </w:t>
            </w:r>
          </w:p>
          <w:p w14:paraId="38531C14" w14:textId="77777777" w:rsidR="00DD53FB" w:rsidRPr="007A4F15" w:rsidRDefault="00DD53FB" w:rsidP="008C5F58">
            <w:pPr>
              <w:spacing w:after="0"/>
              <w:jc w:val="center"/>
              <w:rPr>
                <w:rFonts w:asciiTheme="majorHAnsi" w:hAnsiTheme="majorHAnsi"/>
              </w:rPr>
            </w:pPr>
            <w:r>
              <w:rPr>
                <w:rFonts w:asciiTheme="majorHAnsi" w:hAnsiTheme="majorHAnsi"/>
              </w:rPr>
              <w:t>End of year</w:t>
            </w:r>
          </w:p>
        </w:tc>
        <w:tc>
          <w:tcPr>
            <w:tcW w:w="1761" w:type="dxa"/>
            <w:shd w:val="clear" w:color="auto" w:fill="auto"/>
            <w:vAlign w:val="center"/>
          </w:tcPr>
          <w:p w14:paraId="67690A59" w14:textId="77777777" w:rsidR="00DD53FB" w:rsidRDefault="00DD53FB" w:rsidP="008C5F58">
            <w:pPr>
              <w:spacing w:after="0"/>
              <w:rPr>
                <w:rFonts w:asciiTheme="majorHAnsi" w:hAnsiTheme="majorHAnsi"/>
              </w:rPr>
            </w:pPr>
            <w:r w:rsidRPr="007A4F15">
              <w:rPr>
                <w:rFonts w:asciiTheme="majorHAnsi" w:hAnsiTheme="majorHAnsi"/>
              </w:rPr>
              <w:t xml:space="preserve">Relevant lessons are captured by the </w:t>
            </w:r>
            <w:r>
              <w:rPr>
                <w:rFonts w:asciiTheme="majorHAnsi" w:hAnsiTheme="majorHAnsi"/>
              </w:rPr>
              <w:t>Project Team and used to inform management decisions.</w:t>
            </w:r>
          </w:p>
          <w:p w14:paraId="43BEE56D" w14:textId="77777777" w:rsidR="00DD53FB" w:rsidRPr="007A4F15" w:rsidRDefault="00DD53FB" w:rsidP="008C5F58">
            <w:pPr>
              <w:spacing w:after="0"/>
              <w:rPr>
                <w:rFonts w:asciiTheme="majorHAnsi" w:hAnsiTheme="majorHAnsi"/>
              </w:rPr>
            </w:pPr>
            <w:r>
              <w:rPr>
                <w:rFonts w:asciiTheme="majorHAnsi" w:hAnsiTheme="majorHAnsi"/>
              </w:rPr>
              <w:lastRenderedPageBreak/>
              <w:t xml:space="preserve">Midterm review scheduled for 2018. </w:t>
            </w:r>
          </w:p>
        </w:tc>
        <w:tc>
          <w:tcPr>
            <w:tcW w:w="1936" w:type="dxa"/>
            <w:shd w:val="clear" w:color="auto" w:fill="auto"/>
          </w:tcPr>
          <w:p w14:paraId="0D74726C" w14:textId="77777777" w:rsidR="00DD53FB" w:rsidRPr="007A4F15" w:rsidRDefault="00DD53FB" w:rsidP="008C5F58">
            <w:pPr>
              <w:spacing w:after="0"/>
              <w:rPr>
                <w:rFonts w:asciiTheme="majorHAnsi" w:hAnsiTheme="majorHAnsi"/>
              </w:rPr>
            </w:pPr>
          </w:p>
        </w:tc>
      </w:tr>
      <w:tr w:rsidR="00DD53FB" w:rsidRPr="007A4F15" w14:paraId="64F683E1" w14:textId="77777777" w:rsidTr="00CF7E3C">
        <w:tc>
          <w:tcPr>
            <w:tcW w:w="1632" w:type="dxa"/>
            <w:shd w:val="clear" w:color="auto" w:fill="auto"/>
            <w:vAlign w:val="center"/>
          </w:tcPr>
          <w:p w14:paraId="56FA3A92" w14:textId="77777777" w:rsidR="00DD53FB" w:rsidRPr="007A4F15" w:rsidRDefault="00DD53FB" w:rsidP="008C5F58">
            <w:pPr>
              <w:spacing w:after="0"/>
              <w:rPr>
                <w:rFonts w:asciiTheme="majorHAnsi" w:hAnsiTheme="majorHAnsi"/>
                <w:b/>
              </w:rPr>
            </w:pPr>
            <w:r w:rsidRPr="007A4F15">
              <w:rPr>
                <w:rFonts w:asciiTheme="majorHAnsi" w:hAnsiTheme="majorHAnsi"/>
                <w:b/>
              </w:rPr>
              <w:t>Annual Project Quality Assurance</w:t>
            </w:r>
          </w:p>
        </w:tc>
        <w:tc>
          <w:tcPr>
            <w:tcW w:w="2621" w:type="dxa"/>
            <w:shd w:val="clear" w:color="auto" w:fill="auto"/>
            <w:vAlign w:val="center"/>
          </w:tcPr>
          <w:p w14:paraId="58A5CE73" w14:textId="77777777" w:rsidR="00DD53FB" w:rsidRPr="007A4F15" w:rsidRDefault="00DD53FB" w:rsidP="008C5F58">
            <w:pPr>
              <w:spacing w:after="0"/>
              <w:rPr>
                <w:rFonts w:asciiTheme="majorHAnsi" w:hAnsiTheme="majorHAnsi" w:cs="Arial"/>
              </w:rPr>
            </w:pPr>
            <w:r w:rsidRPr="007A4F15">
              <w:rPr>
                <w:rFonts w:asciiTheme="majorHAnsi" w:hAnsiTheme="majorHAnsi" w:cs="Arial"/>
              </w:rPr>
              <w:t>The quality of the Project will be assessed against UNDP’s quality standards to identify Project strengths and weaknesses and to inform management decision making to improve the Project.</w:t>
            </w:r>
          </w:p>
        </w:tc>
        <w:tc>
          <w:tcPr>
            <w:tcW w:w="1400" w:type="dxa"/>
            <w:shd w:val="clear" w:color="auto" w:fill="auto"/>
            <w:vAlign w:val="center"/>
          </w:tcPr>
          <w:p w14:paraId="6BEE02B1" w14:textId="77777777" w:rsidR="00DD53FB" w:rsidRPr="007A4F15" w:rsidRDefault="00DD53FB" w:rsidP="008C5F58">
            <w:pPr>
              <w:spacing w:after="0"/>
              <w:jc w:val="center"/>
              <w:rPr>
                <w:rFonts w:asciiTheme="majorHAnsi" w:hAnsiTheme="majorHAnsi"/>
              </w:rPr>
            </w:pPr>
            <w:r w:rsidRPr="007A4F15">
              <w:rPr>
                <w:rFonts w:asciiTheme="majorHAnsi" w:hAnsiTheme="majorHAnsi"/>
              </w:rPr>
              <w:t>Annually</w:t>
            </w:r>
          </w:p>
        </w:tc>
        <w:tc>
          <w:tcPr>
            <w:tcW w:w="1761" w:type="dxa"/>
            <w:shd w:val="clear" w:color="auto" w:fill="auto"/>
            <w:vAlign w:val="center"/>
          </w:tcPr>
          <w:p w14:paraId="24EA363D" w14:textId="77777777" w:rsidR="00DD53FB" w:rsidRPr="007A4F15" w:rsidRDefault="00DD53FB" w:rsidP="008C5F58">
            <w:pPr>
              <w:spacing w:after="0"/>
              <w:rPr>
                <w:rFonts w:asciiTheme="majorHAnsi" w:hAnsiTheme="majorHAnsi"/>
              </w:rPr>
            </w:pPr>
            <w:r w:rsidRPr="007A4F15">
              <w:rPr>
                <w:rFonts w:asciiTheme="majorHAnsi" w:hAnsiTheme="majorHAnsi"/>
              </w:rPr>
              <w:t>Areas of strength and weakness will be reviewed by Project Management and used to inform decisions to improve Project performance.</w:t>
            </w:r>
          </w:p>
        </w:tc>
        <w:tc>
          <w:tcPr>
            <w:tcW w:w="1936" w:type="dxa"/>
            <w:shd w:val="clear" w:color="auto" w:fill="auto"/>
          </w:tcPr>
          <w:p w14:paraId="482F9867" w14:textId="77777777" w:rsidR="00DD53FB" w:rsidRPr="007A4F15" w:rsidRDefault="00DD53FB" w:rsidP="008C5F58">
            <w:pPr>
              <w:spacing w:after="0"/>
              <w:rPr>
                <w:rFonts w:asciiTheme="majorHAnsi" w:hAnsiTheme="majorHAnsi"/>
              </w:rPr>
            </w:pPr>
          </w:p>
        </w:tc>
      </w:tr>
      <w:tr w:rsidR="00DD53FB" w:rsidRPr="007A4F15" w14:paraId="64114CD6" w14:textId="77777777" w:rsidTr="00CF7E3C">
        <w:tc>
          <w:tcPr>
            <w:tcW w:w="1632" w:type="dxa"/>
            <w:shd w:val="clear" w:color="auto" w:fill="auto"/>
            <w:vAlign w:val="center"/>
          </w:tcPr>
          <w:p w14:paraId="602E2E1F" w14:textId="77777777" w:rsidR="00DD53FB" w:rsidRPr="007A4F15" w:rsidRDefault="00DD53FB" w:rsidP="008C5F58">
            <w:pPr>
              <w:spacing w:after="0"/>
              <w:rPr>
                <w:rFonts w:asciiTheme="majorHAnsi" w:hAnsiTheme="majorHAnsi"/>
                <w:b/>
              </w:rPr>
            </w:pPr>
            <w:r w:rsidRPr="007A4F15">
              <w:rPr>
                <w:rFonts w:asciiTheme="majorHAnsi" w:hAnsiTheme="majorHAnsi"/>
                <w:b/>
              </w:rPr>
              <w:t>Review and Make Course Corrections</w:t>
            </w:r>
          </w:p>
        </w:tc>
        <w:tc>
          <w:tcPr>
            <w:tcW w:w="2621" w:type="dxa"/>
            <w:shd w:val="clear" w:color="auto" w:fill="auto"/>
            <w:vAlign w:val="center"/>
          </w:tcPr>
          <w:p w14:paraId="66AC3DDE" w14:textId="77777777" w:rsidR="00DD53FB" w:rsidRPr="007A4F15" w:rsidRDefault="00DD53FB" w:rsidP="008C5F58">
            <w:pPr>
              <w:spacing w:after="0"/>
              <w:rPr>
                <w:rFonts w:asciiTheme="majorHAnsi" w:hAnsiTheme="majorHAnsi"/>
              </w:rPr>
            </w:pPr>
            <w:r w:rsidRPr="007A4F15">
              <w:rPr>
                <w:rFonts w:asciiTheme="majorHAnsi" w:hAnsiTheme="majorHAnsi"/>
              </w:rPr>
              <w:t>Internal review of data and evidence from all monitoring actions to inform decision making.</w:t>
            </w:r>
          </w:p>
        </w:tc>
        <w:tc>
          <w:tcPr>
            <w:tcW w:w="1400" w:type="dxa"/>
            <w:shd w:val="clear" w:color="auto" w:fill="auto"/>
            <w:vAlign w:val="center"/>
          </w:tcPr>
          <w:p w14:paraId="78CE48FC" w14:textId="77777777" w:rsidR="00DD53FB" w:rsidRPr="007A4F15" w:rsidRDefault="00DD53FB" w:rsidP="008C5F58">
            <w:pPr>
              <w:spacing w:after="0"/>
              <w:jc w:val="center"/>
              <w:rPr>
                <w:rFonts w:asciiTheme="majorHAnsi" w:hAnsiTheme="majorHAnsi"/>
              </w:rPr>
            </w:pPr>
            <w:r w:rsidRPr="007A4F15">
              <w:rPr>
                <w:rFonts w:asciiTheme="majorHAnsi" w:hAnsiTheme="majorHAnsi"/>
              </w:rPr>
              <w:t>At least annually</w:t>
            </w:r>
          </w:p>
        </w:tc>
        <w:tc>
          <w:tcPr>
            <w:tcW w:w="1761" w:type="dxa"/>
            <w:shd w:val="clear" w:color="auto" w:fill="auto"/>
          </w:tcPr>
          <w:p w14:paraId="1CD2D57F" w14:textId="77777777" w:rsidR="00DD53FB" w:rsidRPr="007A4F15" w:rsidRDefault="00DD53FB" w:rsidP="008C5F58">
            <w:pPr>
              <w:spacing w:after="0"/>
              <w:rPr>
                <w:rFonts w:asciiTheme="majorHAnsi" w:hAnsiTheme="majorHAnsi"/>
              </w:rPr>
            </w:pPr>
            <w:r w:rsidRPr="007A4F15">
              <w:rPr>
                <w:rFonts w:asciiTheme="majorHAnsi" w:hAnsiTheme="majorHAnsi"/>
              </w:rPr>
              <w:t>Performance data, risks, lessons and quality will be discussed by the Project Board and used to make course corrections.</w:t>
            </w:r>
          </w:p>
        </w:tc>
        <w:tc>
          <w:tcPr>
            <w:tcW w:w="1936" w:type="dxa"/>
            <w:shd w:val="clear" w:color="auto" w:fill="auto"/>
          </w:tcPr>
          <w:p w14:paraId="5F553CFB" w14:textId="77777777" w:rsidR="00DD53FB" w:rsidRPr="007A4F15" w:rsidRDefault="00DD53FB" w:rsidP="008C5F58">
            <w:pPr>
              <w:spacing w:after="0"/>
              <w:rPr>
                <w:rFonts w:asciiTheme="majorHAnsi" w:hAnsiTheme="majorHAnsi"/>
              </w:rPr>
            </w:pPr>
          </w:p>
        </w:tc>
      </w:tr>
      <w:tr w:rsidR="00DD53FB" w:rsidRPr="007A4F15" w14:paraId="0DB987CF" w14:textId="77777777" w:rsidTr="00CF7E3C">
        <w:tc>
          <w:tcPr>
            <w:tcW w:w="1632" w:type="dxa"/>
            <w:shd w:val="clear" w:color="auto" w:fill="auto"/>
            <w:vAlign w:val="center"/>
          </w:tcPr>
          <w:p w14:paraId="06BD9DEA" w14:textId="77777777" w:rsidR="00DD53FB" w:rsidRPr="007A4F15" w:rsidRDefault="00DD53FB" w:rsidP="008C5F58">
            <w:pPr>
              <w:spacing w:after="0"/>
              <w:rPr>
                <w:rFonts w:asciiTheme="majorHAnsi" w:hAnsiTheme="majorHAnsi"/>
                <w:b/>
              </w:rPr>
            </w:pPr>
            <w:r w:rsidRPr="007A4F15">
              <w:rPr>
                <w:rFonts w:asciiTheme="majorHAnsi" w:hAnsiTheme="majorHAnsi"/>
                <w:b/>
              </w:rPr>
              <w:t>Project Report</w:t>
            </w:r>
          </w:p>
        </w:tc>
        <w:tc>
          <w:tcPr>
            <w:tcW w:w="2621" w:type="dxa"/>
            <w:shd w:val="clear" w:color="auto" w:fill="auto"/>
            <w:vAlign w:val="center"/>
          </w:tcPr>
          <w:p w14:paraId="335FCA43" w14:textId="77777777" w:rsidR="00DD53FB" w:rsidRPr="007A4F15" w:rsidRDefault="00DD53FB" w:rsidP="008C5F58">
            <w:pPr>
              <w:spacing w:after="0"/>
              <w:rPr>
                <w:rFonts w:asciiTheme="majorHAnsi" w:hAnsiTheme="majorHAnsi"/>
              </w:rPr>
            </w:pPr>
            <w:r w:rsidRPr="007A4F15">
              <w:rPr>
                <w:rFonts w:asciiTheme="majorHAnsi" w:hAnsiTheme="majorHAnsi" w:cs="Arial"/>
              </w:rPr>
              <w:t xml:space="preserve">A progress report will be presented to the Project Board and key stakeholders, consisting of progress data showing the results achieved against pre-defined annual targets at the output level, the annual Project quality rating summary, an updated risk log with mitigation measures, and any evaluation or review reports prepared over the period. </w:t>
            </w:r>
          </w:p>
        </w:tc>
        <w:tc>
          <w:tcPr>
            <w:tcW w:w="1400" w:type="dxa"/>
            <w:shd w:val="clear" w:color="auto" w:fill="auto"/>
            <w:vAlign w:val="center"/>
          </w:tcPr>
          <w:p w14:paraId="7CDF4547" w14:textId="77777777" w:rsidR="00DD53FB" w:rsidRPr="007A4F15" w:rsidRDefault="006578CF" w:rsidP="008C5F58">
            <w:pPr>
              <w:spacing w:after="0"/>
              <w:jc w:val="center"/>
              <w:rPr>
                <w:rFonts w:asciiTheme="majorHAnsi" w:hAnsiTheme="majorHAnsi"/>
              </w:rPr>
            </w:pPr>
            <w:r>
              <w:rPr>
                <w:rFonts w:asciiTheme="majorHAnsi" w:hAnsiTheme="majorHAnsi"/>
              </w:rPr>
              <w:t>Annually</w:t>
            </w:r>
          </w:p>
        </w:tc>
        <w:tc>
          <w:tcPr>
            <w:tcW w:w="1761" w:type="dxa"/>
            <w:shd w:val="clear" w:color="auto" w:fill="auto"/>
          </w:tcPr>
          <w:p w14:paraId="1C71A5F0" w14:textId="77777777" w:rsidR="00DD53FB" w:rsidRPr="007A4F15" w:rsidRDefault="006578CF" w:rsidP="008C5F58">
            <w:pPr>
              <w:spacing w:after="0"/>
              <w:rPr>
                <w:rFonts w:asciiTheme="majorHAnsi" w:hAnsiTheme="majorHAnsi"/>
              </w:rPr>
            </w:pPr>
            <w:r>
              <w:rPr>
                <w:rFonts w:asciiTheme="majorHAnsi" w:hAnsiTheme="majorHAnsi"/>
              </w:rPr>
              <w:t>Midterm project review will also be provided to the Project Board for review</w:t>
            </w:r>
          </w:p>
        </w:tc>
        <w:tc>
          <w:tcPr>
            <w:tcW w:w="1936" w:type="dxa"/>
            <w:shd w:val="clear" w:color="auto" w:fill="auto"/>
          </w:tcPr>
          <w:p w14:paraId="4EF7A674" w14:textId="77777777" w:rsidR="00DD53FB" w:rsidRPr="007A4F15" w:rsidRDefault="00DD53FB" w:rsidP="008C5F58">
            <w:pPr>
              <w:spacing w:after="0"/>
              <w:rPr>
                <w:rFonts w:asciiTheme="majorHAnsi" w:hAnsiTheme="majorHAnsi"/>
              </w:rPr>
            </w:pPr>
          </w:p>
        </w:tc>
      </w:tr>
      <w:tr w:rsidR="00DD53FB" w:rsidRPr="007A4F15" w14:paraId="73611751" w14:textId="77777777" w:rsidTr="00CF7E3C">
        <w:tc>
          <w:tcPr>
            <w:tcW w:w="1632" w:type="dxa"/>
            <w:shd w:val="clear" w:color="auto" w:fill="auto"/>
            <w:vAlign w:val="center"/>
          </w:tcPr>
          <w:p w14:paraId="219BD79C" w14:textId="77777777" w:rsidR="00DD53FB" w:rsidRPr="007A4F15" w:rsidRDefault="00DD53FB" w:rsidP="008C5F58">
            <w:pPr>
              <w:spacing w:after="0"/>
              <w:rPr>
                <w:rFonts w:asciiTheme="majorHAnsi" w:hAnsiTheme="majorHAnsi"/>
                <w:b/>
              </w:rPr>
            </w:pPr>
            <w:r w:rsidRPr="007A4F15">
              <w:rPr>
                <w:rFonts w:asciiTheme="majorHAnsi" w:hAnsiTheme="majorHAnsi"/>
                <w:b/>
              </w:rPr>
              <w:t xml:space="preserve">Project Review </w:t>
            </w:r>
            <w:r w:rsidRPr="007A4F15">
              <w:rPr>
                <w:rFonts w:asciiTheme="majorHAnsi" w:hAnsiTheme="majorHAnsi"/>
                <w:b/>
              </w:rPr>
              <w:lastRenderedPageBreak/>
              <w:t>(Programme Board)</w:t>
            </w:r>
          </w:p>
        </w:tc>
        <w:tc>
          <w:tcPr>
            <w:tcW w:w="2621" w:type="dxa"/>
            <w:shd w:val="clear" w:color="auto" w:fill="auto"/>
            <w:vAlign w:val="center"/>
          </w:tcPr>
          <w:p w14:paraId="72AB331E" w14:textId="77777777" w:rsidR="00DD53FB" w:rsidRPr="007A4F15" w:rsidRDefault="00DD53FB" w:rsidP="008C5F58">
            <w:pPr>
              <w:spacing w:after="0"/>
              <w:rPr>
                <w:rFonts w:asciiTheme="majorHAnsi" w:hAnsiTheme="majorHAnsi"/>
              </w:rPr>
            </w:pPr>
            <w:r w:rsidRPr="007A4F15">
              <w:rPr>
                <w:rFonts w:asciiTheme="majorHAnsi" w:hAnsiTheme="majorHAnsi" w:cs="Arial"/>
              </w:rPr>
              <w:lastRenderedPageBreak/>
              <w:t>The Project’s governance mechanism (i.e., Pr</w:t>
            </w:r>
            <w:r w:rsidR="00E448FD">
              <w:rPr>
                <w:rFonts w:asciiTheme="majorHAnsi" w:hAnsiTheme="majorHAnsi" w:cs="Arial"/>
              </w:rPr>
              <w:t xml:space="preserve">oject Board) will hold regular </w:t>
            </w:r>
            <w:r w:rsidR="00E448FD">
              <w:rPr>
                <w:rFonts w:asciiTheme="majorHAnsi" w:hAnsiTheme="majorHAnsi" w:cs="Arial"/>
              </w:rPr>
              <w:lastRenderedPageBreak/>
              <w:t>p</w:t>
            </w:r>
            <w:r w:rsidRPr="007A4F15">
              <w:rPr>
                <w:rFonts w:asciiTheme="majorHAnsi" w:hAnsiTheme="majorHAnsi" w:cs="Arial"/>
              </w:rPr>
              <w:t>roject reviews to assess the performance of the Project and review the Multi-Year Work Plan to ensure</w:t>
            </w:r>
            <w:r w:rsidR="00E448FD">
              <w:rPr>
                <w:rFonts w:asciiTheme="majorHAnsi" w:hAnsiTheme="majorHAnsi" w:cs="Arial"/>
              </w:rPr>
              <w:t xml:space="preserve"> and maintain</w:t>
            </w:r>
            <w:r w:rsidRPr="007A4F15">
              <w:rPr>
                <w:rFonts w:asciiTheme="majorHAnsi" w:hAnsiTheme="majorHAnsi" w:cs="Arial"/>
              </w:rPr>
              <w:t xml:space="preserve"> realistic</w:t>
            </w:r>
            <w:r w:rsidR="00E448FD">
              <w:rPr>
                <w:rFonts w:asciiTheme="majorHAnsi" w:hAnsiTheme="majorHAnsi" w:cs="Arial"/>
              </w:rPr>
              <w:t xml:space="preserve"> targets.</w:t>
            </w:r>
          </w:p>
        </w:tc>
        <w:tc>
          <w:tcPr>
            <w:tcW w:w="1400" w:type="dxa"/>
            <w:shd w:val="clear" w:color="auto" w:fill="auto"/>
            <w:vAlign w:val="center"/>
          </w:tcPr>
          <w:p w14:paraId="2CD4EFA0" w14:textId="77777777" w:rsidR="00DD53FB" w:rsidRPr="007A4F15" w:rsidRDefault="00DD53FB" w:rsidP="008C5F58">
            <w:pPr>
              <w:spacing w:after="0"/>
              <w:jc w:val="center"/>
              <w:rPr>
                <w:rFonts w:asciiTheme="majorHAnsi" w:hAnsiTheme="majorHAnsi"/>
              </w:rPr>
            </w:pPr>
            <w:r>
              <w:rPr>
                <w:rFonts w:asciiTheme="majorHAnsi" w:hAnsiTheme="majorHAnsi"/>
              </w:rPr>
              <w:lastRenderedPageBreak/>
              <w:t>Quarterly</w:t>
            </w:r>
          </w:p>
        </w:tc>
        <w:tc>
          <w:tcPr>
            <w:tcW w:w="1761" w:type="dxa"/>
            <w:shd w:val="clear" w:color="auto" w:fill="auto"/>
            <w:vAlign w:val="center"/>
          </w:tcPr>
          <w:p w14:paraId="7FF98BFC" w14:textId="77777777" w:rsidR="00DD53FB" w:rsidRPr="007A4F15" w:rsidRDefault="00DD53FB" w:rsidP="008C5F58">
            <w:pPr>
              <w:rPr>
                <w:rFonts w:asciiTheme="majorHAnsi" w:hAnsiTheme="majorHAnsi"/>
                <w:b/>
              </w:rPr>
            </w:pPr>
            <w:r w:rsidRPr="007A4F15">
              <w:rPr>
                <w:rFonts w:asciiTheme="majorHAnsi" w:hAnsiTheme="majorHAnsi" w:cs="Arial"/>
              </w:rPr>
              <w:t xml:space="preserve">Any quality concerns or slower than </w:t>
            </w:r>
            <w:r w:rsidRPr="007A4F15">
              <w:rPr>
                <w:rFonts w:asciiTheme="majorHAnsi" w:hAnsiTheme="majorHAnsi" w:cs="Arial"/>
              </w:rPr>
              <w:lastRenderedPageBreak/>
              <w:t xml:space="preserve">expected progress should be discussed by the Project board and management actions agreed to address the issues identified. </w:t>
            </w:r>
          </w:p>
        </w:tc>
        <w:tc>
          <w:tcPr>
            <w:tcW w:w="1936" w:type="dxa"/>
            <w:shd w:val="clear" w:color="auto" w:fill="auto"/>
          </w:tcPr>
          <w:p w14:paraId="237C51F6" w14:textId="77777777" w:rsidR="00DD53FB" w:rsidRPr="007A4F15" w:rsidRDefault="00DD53FB" w:rsidP="008C5F58">
            <w:pPr>
              <w:spacing w:after="0"/>
              <w:rPr>
                <w:rFonts w:asciiTheme="majorHAnsi" w:hAnsiTheme="majorHAnsi"/>
              </w:rPr>
            </w:pPr>
            <w:r>
              <w:rPr>
                <w:rFonts w:asciiTheme="majorHAnsi" w:hAnsiTheme="majorHAnsi"/>
              </w:rPr>
              <w:lastRenderedPageBreak/>
              <w:t>All Project Board IPs</w:t>
            </w:r>
          </w:p>
        </w:tc>
      </w:tr>
    </w:tbl>
    <w:p w14:paraId="6EC86D2B" w14:textId="77777777" w:rsidR="006D5142" w:rsidRPr="00D92A7D" w:rsidRDefault="00FF3337" w:rsidP="00D92A7D">
      <w:pPr>
        <w:rPr>
          <w:b/>
          <w:bCs/>
        </w:rPr>
      </w:pPr>
      <w:r>
        <w:rPr>
          <w:color w:val="FF0000"/>
          <w14:textFill>
            <w14:solidFill>
              <w14:srgbClr w14:val="FF0000">
                <w14:lumMod w14:val="60000"/>
                <w14:lumOff w14:val="40000"/>
              </w14:srgbClr>
            </w14:solidFill>
          </w14:textFill>
        </w:rPr>
        <w:br w:type="page"/>
      </w:r>
    </w:p>
    <w:p w14:paraId="1A10F672" w14:textId="77777777" w:rsidR="007215DC" w:rsidRDefault="009C739B" w:rsidP="00FC7F1F">
      <w:pPr>
        <w:rPr>
          <w:sz w:val="28"/>
          <w:szCs w:val="28"/>
        </w:rPr>
      </w:pPr>
      <w:r w:rsidRPr="009C739B">
        <w:rPr>
          <w:sz w:val="28"/>
          <w:szCs w:val="28"/>
        </w:rPr>
        <w:lastRenderedPageBreak/>
        <w:t>Annex 2:</w:t>
      </w:r>
      <w:r w:rsidR="0022405F">
        <w:rPr>
          <w:sz w:val="28"/>
          <w:szCs w:val="28"/>
        </w:rPr>
        <w:t xml:space="preserve"> L</w:t>
      </w:r>
      <w:r w:rsidR="003B1E48" w:rsidRPr="003B1E48">
        <w:rPr>
          <w:sz w:val="28"/>
          <w:szCs w:val="28"/>
        </w:rPr>
        <w:t>inks to</w:t>
      </w:r>
      <w:r w:rsidR="003B1E48">
        <w:rPr>
          <w:b/>
          <w:bCs/>
          <w:color w:val="FF0000"/>
          <w:sz w:val="28"/>
          <w:szCs w:val="28"/>
        </w:rPr>
        <w:t xml:space="preserve"> </w:t>
      </w:r>
      <w:r w:rsidR="007215DC" w:rsidRPr="009C739B">
        <w:rPr>
          <w:sz w:val="28"/>
          <w:szCs w:val="28"/>
        </w:rPr>
        <w:t>S</w:t>
      </w:r>
      <w:r w:rsidR="00AC6387" w:rsidRPr="009C739B">
        <w:rPr>
          <w:sz w:val="28"/>
          <w:szCs w:val="28"/>
        </w:rPr>
        <w:t xml:space="preserve">uccess stories, </w:t>
      </w:r>
      <w:r w:rsidR="007215DC" w:rsidRPr="009C739B">
        <w:rPr>
          <w:sz w:val="28"/>
          <w:szCs w:val="28"/>
        </w:rPr>
        <w:t>P</w:t>
      </w:r>
      <w:r w:rsidR="001E69A2" w:rsidRPr="009C739B">
        <w:rPr>
          <w:sz w:val="28"/>
          <w:szCs w:val="28"/>
        </w:rPr>
        <w:t>ress release</w:t>
      </w:r>
      <w:r w:rsidR="00FC7F1F">
        <w:rPr>
          <w:sz w:val="28"/>
          <w:szCs w:val="28"/>
        </w:rPr>
        <w:t>, a</w:t>
      </w:r>
      <w:r w:rsidR="007215DC" w:rsidRPr="009C739B">
        <w:rPr>
          <w:sz w:val="28"/>
          <w:szCs w:val="28"/>
        </w:rPr>
        <w:t>ny other</w:t>
      </w:r>
    </w:p>
    <w:p w14:paraId="425DE04B" w14:textId="77777777" w:rsidR="00DB4FF3" w:rsidRDefault="002D4F3C" w:rsidP="005277A1">
      <w:hyperlink r:id="rId12" w:history="1">
        <w:r w:rsidR="00B31835">
          <w:rPr>
            <w:rStyle w:val="Hyperlink"/>
          </w:rPr>
          <w:t>https://www.facebook.com/Sierra-Leone-Correctional-Service-PAGE-656192434462264/?epa=SEARCH_BOX</w:t>
        </w:r>
      </w:hyperlink>
      <w:r w:rsidR="00B31835">
        <w:t xml:space="preserve"> </w:t>
      </w:r>
    </w:p>
    <w:p w14:paraId="6E54DC7B" w14:textId="21A28ABD" w:rsidR="005277A1" w:rsidRDefault="002D4F3C" w:rsidP="005277A1">
      <w:hyperlink r:id="rId13" w:history="1">
        <w:r w:rsidR="005277A1">
          <w:rPr>
            <w:rStyle w:val="Hyperlink"/>
          </w:rPr>
          <w:t>http://www.sl.undp.org/content/sierraleone/en/home/presscenter/articles/2018/a-brush-with-the-law-.html</w:t>
        </w:r>
      </w:hyperlink>
      <w:r w:rsidR="005277A1" w:rsidRPr="005277A1">
        <w:rPr>
          <w:color w:val="1F497D"/>
        </w:rPr>
        <w:t xml:space="preserve"> </w:t>
      </w:r>
    </w:p>
    <w:p w14:paraId="489B46F4" w14:textId="52AF8042" w:rsidR="005277A1" w:rsidRDefault="002D4F3C" w:rsidP="00DB4FF3">
      <w:hyperlink r:id="rId14" w:history="1">
        <w:r w:rsidR="00DB4FF3" w:rsidRPr="004C1BE0">
          <w:rPr>
            <w:rStyle w:val="Hyperlink"/>
          </w:rPr>
          <w:t>https://twitter.com/UNDPAfrica/status/1049458784450568193</w:t>
        </w:r>
      </w:hyperlink>
      <w:r w:rsidR="005277A1" w:rsidRPr="00DB4FF3">
        <w:rPr>
          <w:color w:val="1F497D"/>
        </w:rPr>
        <w:t xml:space="preserve"> </w:t>
      </w:r>
    </w:p>
    <w:p w14:paraId="07FDEA9E" w14:textId="0AA16452" w:rsidR="005277A1" w:rsidRDefault="002D4F3C" w:rsidP="00DB4FF3">
      <w:hyperlink r:id="rId15" w:history="1">
        <w:r w:rsidR="005277A1">
          <w:rPr>
            <w:rStyle w:val="Hyperlink"/>
          </w:rPr>
          <w:t>https://twitter.com/UNDPSierraLeone/status/1048213727487647744</w:t>
        </w:r>
      </w:hyperlink>
      <w:r w:rsidR="005277A1" w:rsidRPr="00DB4FF3">
        <w:rPr>
          <w:color w:val="1F497D"/>
        </w:rPr>
        <w:t xml:space="preserve"> </w:t>
      </w:r>
    </w:p>
    <w:p w14:paraId="331E590F" w14:textId="6B1D5744" w:rsidR="005277A1" w:rsidRDefault="002D4F3C" w:rsidP="00DB4FF3">
      <w:hyperlink r:id="rId16" w:history="1">
        <w:r w:rsidR="00DB4FF3" w:rsidRPr="004C1BE0">
          <w:rPr>
            <w:rStyle w:val="Hyperlink"/>
          </w:rPr>
          <w:t>https://twitter.com/UNDP/status/1033008599134597120</w:t>
        </w:r>
      </w:hyperlink>
      <w:r w:rsidR="005277A1" w:rsidRPr="00DB4FF3">
        <w:rPr>
          <w:color w:val="1F497D"/>
        </w:rPr>
        <w:t xml:space="preserve"> </w:t>
      </w:r>
    </w:p>
    <w:p w14:paraId="2E4B6DFD" w14:textId="5765B1B5" w:rsidR="005277A1" w:rsidRDefault="002D4F3C" w:rsidP="00DB4FF3">
      <w:hyperlink r:id="rId17" w:history="1">
        <w:r w:rsidR="005277A1">
          <w:rPr>
            <w:rStyle w:val="Hyperlink"/>
          </w:rPr>
          <w:t>https://twitter.com/UNDPSierraLeone/status/1030021515734134785</w:t>
        </w:r>
      </w:hyperlink>
      <w:r w:rsidR="005277A1" w:rsidRPr="00DB4FF3">
        <w:rPr>
          <w:color w:val="1F497D"/>
        </w:rPr>
        <w:t xml:space="preserve"> </w:t>
      </w:r>
    </w:p>
    <w:p w14:paraId="1EC75F13" w14:textId="3BB4832E" w:rsidR="005277A1" w:rsidRDefault="002D4F3C" w:rsidP="00DB4FF3">
      <w:hyperlink r:id="rId18" w:history="1">
        <w:r w:rsidR="005277A1">
          <w:rPr>
            <w:rStyle w:val="Hyperlink"/>
          </w:rPr>
          <w:t>https://twitter.com/UNDPSierraLeone/status/1016728669195259905</w:t>
        </w:r>
      </w:hyperlink>
      <w:r w:rsidR="005277A1" w:rsidRPr="00DB4FF3">
        <w:rPr>
          <w:color w:val="1F497D"/>
        </w:rPr>
        <w:t xml:space="preserve"> </w:t>
      </w:r>
    </w:p>
    <w:p w14:paraId="61971F69" w14:textId="6E93EB45" w:rsidR="005277A1" w:rsidRDefault="002D4F3C" w:rsidP="00DB4FF3">
      <w:hyperlink r:id="rId19" w:history="1">
        <w:r w:rsidR="005277A1">
          <w:rPr>
            <w:rStyle w:val="Hyperlink"/>
          </w:rPr>
          <w:t>https://twitter.com/UNDPAfrica/status/1009691165426356226</w:t>
        </w:r>
      </w:hyperlink>
      <w:r w:rsidR="005277A1" w:rsidRPr="00DB4FF3">
        <w:rPr>
          <w:color w:val="1F497D"/>
        </w:rPr>
        <w:t xml:space="preserve"> </w:t>
      </w:r>
    </w:p>
    <w:p w14:paraId="5E3A2252" w14:textId="23793A1D" w:rsidR="00B31835" w:rsidRDefault="002D4F3C" w:rsidP="005277A1">
      <w:pPr>
        <w:rPr>
          <w:rStyle w:val="Hyperlink"/>
        </w:rPr>
      </w:pPr>
      <w:hyperlink r:id="rId20" w:history="1">
        <w:r w:rsidR="005277A1">
          <w:rPr>
            <w:rStyle w:val="Hyperlink"/>
          </w:rPr>
          <w:t>https://twitter.com/UNDPAfrica/status/995949369668104192</w:t>
        </w:r>
      </w:hyperlink>
    </w:p>
    <w:p w14:paraId="1D9F4F02" w14:textId="77777777" w:rsidR="006466FC" w:rsidRDefault="002D4F3C" w:rsidP="006466FC">
      <w:pPr>
        <w:pStyle w:val="ListParagraph"/>
        <w:ind w:left="0"/>
        <w:rPr>
          <w:sz w:val="20"/>
          <w:szCs w:val="20"/>
        </w:rPr>
      </w:pPr>
      <w:hyperlink r:id="rId21" w:history="1">
        <w:r w:rsidR="006466FC" w:rsidRPr="00AD30E6">
          <w:rPr>
            <w:rStyle w:val="Hyperlink"/>
            <w:sz w:val="20"/>
            <w:szCs w:val="20"/>
          </w:rPr>
          <w:t>https://www.facebook.com/The-Judiciary-of-Sierra-Leone-315910822189629/</w:t>
        </w:r>
      </w:hyperlink>
      <w:r w:rsidR="006466FC">
        <w:rPr>
          <w:sz w:val="20"/>
          <w:szCs w:val="20"/>
        </w:rPr>
        <w:t xml:space="preserve"> </w:t>
      </w:r>
    </w:p>
    <w:p w14:paraId="7CB737A2" w14:textId="03A6BC59" w:rsidR="006466FC" w:rsidRPr="009C739B" w:rsidRDefault="006466FC" w:rsidP="005277A1">
      <w:pPr>
        <w:rPr>
          <w:sz w:val="28"/>
          <w:szCs w:val="28"/>
        </w:rPr>
      </w:pPr>
      <w:r>
        <w:rPr>
          <w:sz w:val="28"/>
          <w:szCs w:val="28"/>
        </w:rPr>
        <w:t xml:space="preserve"> </w:t>
      </w:r>
    </w:p>
    <w:sectPr w:rsidR="006466FC" w:rsidRPr="009C739B" w:rsidSect="007C66D5">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DDC0" w14:textId="77777777" w:rsidR="002D4F3C" w:rsidRDefault="002D4F3C" w:rsidP="007E53E9">
      <w:pPr>
        <w:spacing w:after="0" w:line="240" w:lineRule="auto"/>
      </w:pPr>
      <w:r>
        <w:separator/>
      </w:r>
    </w:p>
  </w:endnote>
  <w:endnote w:type="continuationSeparator" w:id="0">
    <w:p w14:paraId="2CDA8693" w14:textId="77777777" w:rsidR="002D4F3C" w:rsidRDefault="002D4F3C" w:rsidP="007E53E9">
      <w:pPr>
        <w:spacing w:after="0" w:line="240" w:lineRule="auto"/>
      </w:pPr>
      <w:r>
        <w:continuationSeparator/>
      </w:r>
    </w:p>
  </w:endnote>
  <w:endnote w:type="continuationNotice" w:id="1">
    <w:p w14:paraId="3EEF173B" w14:textId="77777777" w:rsidR="002D4F3C" w:rsidRDefault="002D4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Myriad Pro">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8727"/>
      <w:docPartObj>
        <w:docPartGallery w:val="Page Numbers (Bottom of Page)"/>
        <w:docPartUnique/>
      </w:docPartObj>
    </w:sdtPr>
    <w:sdtEndPr>
      <w:rPr>
        <w:color w:val="808080" w:themeColor="background1" w:themeShade="80"/>
        <w:spacing w:val="60"/>
      </w:rPr>
    </w:sdtEndPr>
    <w:sdtContent>
      <w:p w14:paraId="7D0B5407" w14:textId="77777777" w:rsidR="002D4F3C" w:rsidRDefault="002D4F3C" w:rsidP="002755B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04F1E">
          <w:rPr>
            <w:b/>
            <w:bCs/>
            <w:noProof/>
          </w:rPr>
          <w:t>21</w:t>
        </w:r>
        <w:r>
          <w:rPr>
            <w:b/>
            <w:bCs/>
            <w:noProof/>
          </w:rPr>
          <w:fldChar w:fldCharType="end"/>
        </w:r>
        <w:r>
          <w:rPr>
            <w:b/>
            <w:bCs/>
          </w:rPr>
          <w:t xml:space="preserve"> | </w:t>
        </w:r>
        <w:r>
          <w:rPr>
            <w:color w:val="808080" w:themeColor="background1" w:themeShade="80"/>
            <w:spacing w:val="60"/>
          </w:rPr>
          <w:t>Page</w:t>
        </w:r>
      </w:p>
    </w:sdtContent>
  </w:sdt>
  <w:p w14:paraId="36A389DA" w14:textId="77777777" w:rsidR="002D4F3C" w:rsidRPr="002755B2" w:rsidRDefault="002D4F3C" w:rsidP="002755B2">
    <w:pPr>
      <w:pStyle w:val="Footer"/>
      <w:jc w:val="center"/>
      <w:rPr>
        <w:color w:val="17365D" w:themeColor="text2" w:themeShade="BF"/>
      </w:rPr>
    </w:pPr>
    <w:r>
      <w:rPr>
        <w:color w:val="17365D" w:themeColor="text2" w:themeShade="BF"/>
      </w:rPr>
      <w:t>Rule of Law Programme</w:t>
    </w:r>
    <w:r w:rsidRPr="002755B2">
      <w:rPr>
        <w:color w:val="17365D" w:themeColor="text2" w:themeShade="BF"/>
      </w:rPr>
      <w:t xml:space="preserve"> – United Natio</w:t>
    </w:r>
    <w:r>
      <w:rPr>
        <w:color w:val="17365D" w:themeColor="text2" w:themeShade="BF"/>
      </w:rPr>
      <w:t>ns Development Programme –Sierra Leone</w:t>
    </w:r>
  </w:p>
  <w:p w14:paraId="3AEC4D08" w14:textId="77777777" w:rsidR="002D4F3C" w:rsidRDefault="002D4F3C" w:rsidP="002755B2">
    <w:pPr>
      <w:pStyle w:val="Footer"/>
      <w:jc w:val="center"/>
      <w:rPr>
        <w:color w:val="17365D" w:themeColor="text2" w:themeShade="BF"/>
      </w:rPr>
    </w:pPr>
    <w:r w:rsidRPr="00E423FE">
      <w:rPr>
        <w:color w:val="17365D" w:themeColor="text2" w:themeShade="BF"/>
      </w:rPr>
      <w:t>Annual Progress Report</w:t>
    </w:r>
    <w:r>
      <w:rPr>
        <w:color w:val="17365D" w:themeColor="text2" w:themeShade="BF"/>
      </w:rPr>
      <w:t xml:space="preserve"> - 2018</w:t>
    </w:r>
    <w:r w:rsidRPr="00E423FE">
      <w:rPr>
        <w:color w:val="17365D" w:themeColor="text2" w:themeShade="BF"/>
      </w:rPr>
      <w:t xml:space="preserve">  </w:t>
    </w:r>
  </w:p>
  <w:p w14:paraId="165407C5" w14:textId="77777777" w:rsidR="002D4F3C" w:rsidRDefault="002D4F3C" w:rsidP="00F7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9EA7" w14:textId="77777777" w:rsidR="002D4F3C" w:rsidRDefault="002D4F3C" w:rsidP="007E53E9">
      <w:pPr>
        <w:spacing w:after="0" w:line="240" w:lineRule="auto"/>
      </w:pPr>
      <w:r>
        <w:separator/>
      </w:r>
    </w:p>
  </w:footnote>
  <w:footnote w:type="continuationSeparator" w:id="0">
    <w:p w14:paraId="7D49058E" w14:textId="77777777" w:rsidR="002D4F3C" w:rsidRDefault="002D4F3C" w:rsidP="007E53E9">
      <w:pPr>
        <w:spacing w:after="0" w:line="240" w:lineRule="auto"/>
      </w:pPr>
      <w:r>
        <w:continuationSeparator/>
      </w:r>
    </w:p>
  </w:footnote>
  <w:footnote w:type="continuationNotice" w:id="1">
    <w:p w14:paraId="6B9CC26C" w14:textId="77777777" w:rsidR="002D4F3C" w:rsidRDefault="002D4F3C">
      <w:pPr>
        <w:spacing w:after="0" w:line="240" w:lineRule="auto"/>
      </w:pPr>
    </w:p>
  </w:footnote>
  <w:footnote w:id="2">
    <w:p w14:paraId="46F89974" w14:textId="77777777" w:rsidR="002D4F3C" w:rsidRDefault="002D4F3C">
      <w:pPr>
        <w:pStyle w:val="FootnoteText"/>
      </w:pPr>
      <w:r w:rsidRPr="000B54E3">
        <w:rPr>
          <w:rStyle w:val="FootnoteReference"/>
        </w:rPr>
        <w:footnoteRef/>
      </w:r>
      <w:r w:rsidRPr="000B54E3">
        <w:t xml:space="preserve"> All financial information is an estimate reflecting the current financial situation. An adjusted financial report will be submitted after the closure of the financial year (March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520C"/>
    <w:multiLevelType w:val="hybridMultilevel"/>
    <w:tmpl w:val="C7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1A02"/>
    <w:multiLevelType w:val="hybridMultilevel"/>
    <w:tmpl w:val="7D9432FA"/>
    <w:lvl w:ilvl="0" w:tplc="6A1A01A6">
      <w:start w:val="10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C7E3F"/>
    <w:multiLevelType w:val="hybridMultilevel"/>
    <w:tmpl w:val="8B34D898"/>
    <w:lvl w:ilvl="0" w:tplc="C9427C08">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7EB0F5B"/>
    <w:multiLevelType w:val="hybridMultilevel"/>
    <w:tmpl w:val="947CC528"/>
    <w:lvl w:ilvl="0" w:tplc="55D09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824DDA"/>
    <w:multiLevelType w:val="hybridMultilevel"/>
    <w:tmpl w:val="C428B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42B4"/>
    <w:multiLevelType w:val="hybridMultilevel"/>
    <w:tmpl w:val="D234B6B4"/>
    <w:lvl w:ilvl="0" w:tplc="A81E31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17A7B63"/>
    <w:multiLevelType w:val="multilevel"/>
    <w:tmpl w:val="CD166F14"/>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A64BA6"/>
    <w:multiLevelType w:val="hybridMultilevel"/>
    <w:tmpl w:val="BDD4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B5DB7"/>
    <w:multiLevelType w:val="hybridMultilevel"/>
    <w:tmpl w:val="F0B62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43E28"/>
    <w:multiLevelType w:val="hybridMultilevel"/>
    <w:tmpl w:val="8E46B5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69A40590"/>
    <w:multiLevelType w:val="hybridMultilevel"/>
    <w:tmpl w:val="A372F02A"/>
    <w:lvl w:ilvl="0" w:tplc="17DEF93C">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66FAA"/>
    <w:multiLevelType w:val="hybridMultilevel"/>
    <w:tmpl w:val="203C0BDC"/>
    <w:lvl w:ilvl="0" w:tplc="3BF200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82B77"/>
    <w:multiLevelType w:val="hybridMultilevel"/>
    <w:tmpl w:val="BC4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A1C8D"/>
    <w:multiLevelType w:val="hybridMultilevel"/>
    <w:tmpl w:val="B232C774"/>
    <w:lvl w:ilvl="0" w:tplc="3A567658">
      <w:start w:val="1"/>
      <w:numFmt w:val="upperRoman"/>
      <w:pStyle w:val="Title"/>
      <w:lvlText w:val="%1."/>
      <w:lvlJc w:val="righ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79784DE5"/>
    <w:multiLevelType w:val="hybridMultilevel"/>
    <w:tmpl w:val="01E63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43DFC"/>
    <w:multiLevelType w:val="hybridMultilevel"/>
    <w:tmpl w:val="F38E4754"/>
    <w:lvl w:ilvl="0" w:tplc="BD8E6CF4">
      <w:start w:val="1"/>
      <w:numFmt w:val="decimal"/>
      <w:lvlText w:val="%1."/>
      <w:lvlJc w:val="left"/>
      <w:pPr>
        <w:ind w:left="720" w:hanging="360"/>
      </w:pPr>
      <w:rPr>
        <w:rFonts w:ascii="CG Times" w:eastAsia="MS Mincho" w:hAnsi="CG Times" w:cs="Times New Roman"/>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4"/>
  </w:num>
  <w:num w:numId="5">
    <w:abstractNumId w:val="14"/>
  </w:num>
  <w:num w:numId="6">
    <w:abstractNumId w:val="14"/>
    <w:lvlOverride w:ilvl="0">
      <w:startOverride w:val="1"/>
    </w:lvlOverride>
  </w:num>
  <w:num w:numId="7">
    <w:abstractNumId w:val="14"/>
  </w:num>
  <w:num w:numId="8">
    <w:abstractNumId w:val="14"/>
  </w:num>
  <w:num w:numId="9">
    <w:abstractNumId w:val="14"/>
    <w:lvlOverride w:ilvl="0">
      <w:startOverride w:val="1"/>
    </w:lvlOverride>
  </w:num>
  <w:num w:numId="10">
    <w:abstractNumId w:val="14"/>
  </w:num>
  <w:num w:numId="11">
    <w:abstractNumId w:val="14"/>
  </w:num>
  <w:num w:numId="12">
    <w:abstractNumId w:val="14"/>
    <w:lvlOverride w:ilvl="0">
      <w:startOverride w:val="1"/>
    </w:lvlOverride>
  </w:num>
  <w:num w:numId="13">
    <w:abstractNumId w:val="9"/>
  </w:num>
  <w:num w:numId="14">
    <w:abstractNumId w:val="15"/>
  </w:num>
  <w:num w:numId="15">
    <w:abstractNumId w:val="11"/>
  </w:num>
  <w:num w:numId="16">
    <w:abstractNumId w:val="0"/>
  </w:num>
  <w:num w:numId="17">
    <w:abstractNumId w:val="7"/>
  </w:num>
  <w:num w:numId="18">
    <w:abstractNumId w:val="10"/>
  </w:num>
  <w:num w:numId="19">
    <w:abstractNumId w:val="13"/>
  </w:num>
  <w:num w:numId="20">
    <w:abstractNumId w:val="8"/>
  </w:num>
  <w:num w:numId="21">
    <w:abstractNumId w:val="3"/>
  </w:num>
  <w:num w:numId="22">
    <w:abstractNumId w:val="1"/>
  </w:num>
  <w:num w:numId="23">
    <w:abstractNumId w:val="6"/>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85"/>
    <w:rsid w:val="00001EFE"/>
    <w:rsid w:val="0000211B"/>
    <w:rsid w:val="00021151"/>
    <w:rsid w:val="0002157C"/>
    <w:rsid w:val="00035160"/>
    <w:rsid w:val="00040E98"/>
    <w:rsid w:val="00042EC6"/>
    <w:rsid w:val="0004536C"/>
    <w:rsid w:val="00046CFE"/>
    <w:rsid w:val="00055D9C"/>
    <w:rsid w:val="00060050"/>
    <w:rsid w:val="0006147D"/>
    <w:rsid w:val="0006735A"/>
    <w:rsid w:val="00073338"/>
    <w:rsid w:val="000822E7"/>
    <w:rsid w:val="00085B75"/>
    <w:rsid w:val="0009164B"/>
    <w:rsid w:val="0009737D"/>
    <w:rsid w:val="000A45F2"/>
    <w:rsid w:val="000A6F59"/>
    <w:rsid w:val="000B54E3"/>
    <w:rsid w:val="000B7B1C"/>
    <w:rsid w:val="000C07F3"/>
    <w:rsid w:val="000E0521"/>
    <w:rsid w:val="000F0011"/>
    <w:rsid w:val="000F3DBE"/>
    <w:rsid w:val="001000AF"/>
    <w:rsid w:val="00106A74"/>
    <w:rsid w:val="0011190F"/>
    <w:rsid w:val="001261C1"/>
    <w:rsid w:val="00134391"/>
    <w:rsid w:val="00145E9D"/>
    <w:rsid w:val="001552AC"/>
    <w:rsid w:val="00166331"/>
    <w:rsid w:val="00167F64"/>
    <w:rsid w:val="001E69A2"/>
    <w:rsid w:val="001E7843"/>
    <w:rsid w:val="001F3C1F"/>
    <w:rsid w:val="00200CC8"/>
    <w:rsid w:val="0020163C"/>
    <w:rsid w:val="00204F1E"/>
    <w:rsid w:val="0020530E"/>
    <w:rsid w:val="00211B35"/>
    <w:rsid w:val="0021420A"/>
    <w:rsid w:val="0022405F"/>
    <w:rsid w:val="002261E8"/>
    <w:rsid w:val="00226CDC"/>
    <w:rsid w:val="00236C09"/>
    <w:rsid w:val="00242714"/>
    <w:rsid w:val="002462BC"/>
    <w:rsid w:val="00252EA0"/>
    <w:rsid w:val="002619FA"/>
    <w:rsid w:val="00263240"/>
    <w:rsid w:val="00264281"/>
    <w:rsid w:val="002755B2"/>
    <w:rsid w:val="002812E7"/>
    <w:rsid w:val="00285AEC"/>
    <w:rsid w:val="00293D34"/>
    <w:rsid w:val="002A14BF"/>
    <w:rsid w:val="002A3F27"/>
    <w:rsid w:val="002A6511"/>
    <w:rsid w:val="002B329C"/>
    <w:rsid w:val="002C539C"/>
    <w:rsid w:val="002D0C56"/>
    <w:rsid w:val="002D2430"/>
    <w:rsid w:val="002D279D"/>
    <w:rsid w:val="002D4F3C"/>
    <w:rsid w:val="002D66BB"/>
    <w:rsid w:val="002E3106"/>
    <w:rsid w:val="002E4E38"/>
    <w:rsid w:val="002E61AB"/>
    <w:rsid w:val="002E771F"/>
    <w:rsid w:val="0030530F"/>
    <w:rsid w:val="00314C3F"/>
    <w:rsid w:val="00315D47"/>
    <w:rsid w:val="003269BC"/>
    <w:rsid w:val="00331380"/>
    <w:rsid w:val="00332242"/>
    <w:rsid w:val="00336462"/>
    <w:rsid w:val="00344072"/>
    <w:rsid w:val="0035135D"/>
    <w:rsid w:val="0035634B"/>
    <w:rsid w:val="00364201"/>
    <w:rsid w:val="00366F3A"/>
    <w:rsid w:val="00375910"/>
    <w:rsid w:val="00377A64"/>
    <w:rsid w:val="00380308"/>
    <w:rsid w:val="0038118F"/>
    <w:rsid w:val="00383045"/>
    <w:rsid w:val="003837FF"/>
    <w:rsid w:val="00384D4A"/>
    <w:rsid w:val="003901DC"/>
    <w:rsid w:val="003910F4"/>
    <w:rsid w:val="00394037"/>
    <w:rsid w:val="0039476D"/>
    <w:rsid w:val="003A3227"/>
    <w:rsid w:val="003B1E48"/>
    <w:rsid w:val="003C3272"/>
    <w:rsid w:val="003C72A3"/>
    <w:rsid w:val="003D7EDC"/>
    <w:rsid w:val="003E7B69"/>
    <w:rsid w:val="003F1937"/>
    <w:rsid w:val="003F2AF2"/>
    <w:rsid w:val="003F4105"/>
    <w:rsid w:val="00402D0E"/>
    <w:rsid w:val="00410AC7"/>
    <w:rsid w:val="0041301B"/>
    <w:rsid w:val="004257EA"/>
    <w:rsid w:val="00425AE5"/>
    <w:rsid w:val="004278C0"/>
    <w:rsid w:val="004414BC"/>
    <w:rsid w:val="00442FFE"/>
    <w:rsid w:val="00445B7F"/>
    <w:rsid w:val="00480EC9"/>
    <w:rsid w:val="004849AC"/>
    <w:rsid w:val="004902C1"/>
    <w:rsid w:val="00491103"/>
    <w:rsid w:val="004B7B0E"/>
    <w:rsid w:val="004C0735"/>
    <w:rsid w:val="004C0B9F"/>
    <w:rsid w:val="004C4520"/>
    <w:rsid w:val="004D6080"/>
    <w:rsid w:val="004D6798"/>
    <w:rsid w:val="004E17FB"/>
    <w:rsid w:val="004F6D37"/>
    <w:rsid w:val="00503EF5"/>
    <w:rsid w:val="00507561"/>
    <w:rsid w:val="00521098"/>
    <w:rsid w:val="0052627A"/>
    <w:rsid w:val="0052627B"/>
    <w:rsid w:val="00526A05"/>
    <w:rsid w:val="005277A1"/>
    <w:rsid w:val="00530A1D"/>
    <w:rsid w:val="005326EF"/>
    <w:rsid w:val="00532C07"/>
    <w:rsid w:val="00542BD4"/>
    <w:rsid w:val="00550345"/>
    <w:rsid w:val="00552389"/>
    <w:rsid w:val="00555093"/>
    <w:rsid w:val="00557DE3"/>
    <w:rsid w:val="0056276C"/>
    <w:rsid w:val="00565628"/>
    <w:rsid w:val="00587B7B"/>
    <w:rsid w:val="005931B0"/>
    <w:rsid w:val="00597A44"/>
    <w:rsid w:val="00597B82"/>
    <w:rsid w:val="005A2ADB"/>
    <w:rsid w:val="005B1408"/>
    <w:rsid w:val="005B1B2E"/>
    <w:rsid w:val="005C335D"/>
    <w:rsid w:val="005C7E55"/>
    <w:rsid w:val="005D0FC5"/>
    <w:rsid w:val="005D4525"/>
    <w:rsid w:val="005D4D18"/>
    <w:rsid w:val="005E01DD"/>
    <w:rsid w:val="005E0A08"/>
    <w:rsid w:val="005E666F"/>
    <w:rsid w:val="005F2AA5"/>
    <w:rsid w:val="005F2FAF"/>
    <w:rsid w:val="00600134"/>
    <w:rsid w:val="006035E8"/>
    <w:rsid w:val="00604387"/>
    <w:rsid w:val="006100B6"/>
    <w:rsid w:val="00612A30"/>
    <w:rsid w:val="00616781"/>
    <w:rsid w:val="006256B8"/>
    <w:rsid w:val="006366D8"/>
    <w:rsid w:val="0064497D"/>
    <w:rsid w:val="006466FC"/>
    <w:rsid w:val="00646B1D"/>
    <w:rsid w:val="006516F5"/>
    <w:rsid w:val="00656F88"/>
    <w:rsid w:val="006578CF"/>
    <w:rsid w:val="00670003"/>
    <w:rsid w:val="0067469A"/>
    <w:rsid w:val="0068210E"/>
    <w:rsid w:val="0068692A"/>
    <w:rsid w:val="006905E1"/>
    <w:rsid w:val="0069118D"/>
    <w:rsid w:val="006950B6"/>
    <w:rsid w:val="006A271F"/>
    <w:rsid w:val="006C14DF"/>
    <w:rsid w:val="006D4993"/>
    <w:rsid w:val="006D5142"/>
    <w:rsid w:val="006E0221"/>
    <w:rsid w:val="006E2B99"/>
    <w:rsid w:val="006E5692"/>
    <w:rsid w:val="006E7AE6"/>
    <w:rsid w:val="006F2E0F"/>
    <w:rsid w:val="006F3F4D"/>
    <w:rsid w:val="007032A4"/>
    <w:rsid w:val="007146B9"/>
    <w:rsid w:val="007215DC"/>
    <w:rsid w:val="0072254C"/>
    <w:rsid w:val="007270D7"/>
    <w:rsid w:val="007323F1"/>
    <w:rsid w:val="00733A41"/>
    <w:rsid w:val="00735A31"/>
    <w:rsid w:val="00744103"/>
    <w:rsid w:val="007458F1"/>
    <w:rsid w:val="00745C12"/>
    <w:rsid w:val="00747A0E"/>
    <w:rsid w:val="007534CC"/>
    <w:rsid w:val="00754C34"/>
    <w:rsid w:val="00760278"/>
    <w:rsid w:val="007661AB"/>
    <w:rsid w:val="007700CB"/>
    <w:rsid w:val="007705B6"/>
    <w:rsid w:val="007738C6"/>
    <w:rsid w:val="007767FA"/>
    <w:rsid w:val="007769BC"/>
    <w:rsid w:val="007772E8"/>
    <w:rsid w:val="00780933"/>
    <w:rsid w:val="007826C0"/>
    <w:rsid w:val="007847A7"/>
    <w:rsid w:val="00795D82"/>
    <w:rsid w:val="007967F8"/>
    <w:rsid w:val="007A34A3"/>
    <w:rsid w:val="007B29E3"/>
    <w:rsid w:val="007C2F43"/>
    <w:rsid w:val="007C66D5"/>
    <w:rsid w:val="007C7D02"/>
    <w:rsid w:val="007D2912"/>
    <w:rsid w:val="007D34F8"/>
    <w:rsid w:val="007D60A0"/>
    <w:rsid w:val="007E129D"/>
    <w:rsid w:val="007E38EF"/>
    <w:rsid w:val="007E53E9"/>
    <w:rsid w:val="007F127B"/>
    <w:rsid w:val="007F37DF"/>
    <w:rsid w:val="00800E6D"/>
    <w:rsid w:val="008050E1"/>
    <w:rsid w:val="00806D2A"/>
    <w:rsid w:val="008222C3"/>
    <w:rsid w:val="00822A4B"/>
    <w:rsid w:val="00831526"/>
    <w:rsid w:val="008515B6"/>
    <w:rsid w:val="00851A2E"/>
    <w:rsid w:val="00852360"/>
    <w:rsid w:val="00856076"/>
    <w:rsid w:val="00872332"/>
    <w:rsid w:val="0088145D"/>
    <w:rsid w:val="00895535"/>
    <w:rsid w:val="00896E06"/>
    <w:rsid w:val="008C0CE0"/>
    <w:rsid w:val="008C5F58"/>
    <w:rsid w:val="008C6F71"/>
    <w:rsid w:val="008D050C"/>
    <w:rsid w:val="008D1763"/>
    <w:rsid w:val="008D3FB0"/>
    <w:rsid w:val="008E1916"/>
    <w:rsid w:val="008E38DB"/>
    <w:rsid w:val="008F19D2"/>
    <w:rsid w:val="008F1B2D"/>
    <w:rsid w:val="00912EFC"/>
    <w:rsid w:val="00914791"/>
    <w:rsid w:val="009313B7"/>
    <w:rsid w:val="00933065"/>
    <w:rsid w:val="00953BCC"/>
    <w:rsid w:val="00954CC2"/>
    <w:rsid w:val="009630D1"/>
    <w:rsid w:val="009649A8"/>
    <w:rsid w:val="00975DC7"/>
    <w:rsid w:val="0098200F"/>
    <w:rsid w:val="009858E8"/>
    <w:rsid w:val="00986053"/>
    <w:rsid w:val="00987994"/>
    <w:rsid w:val="009924BE"/>
    <w:rsid w:val="00994143"/>
    <w:rsid w:val="009A0309"/>
    <w:rsid w:val="009A6755"/>
    <w:rsid w:val="009B1E24"/>
    <w:rsid w:val="009B6EEC"/>
    <w:rsid w:val="009C3DD5"/>
    <w:rsid w:val="009C5152"/>
    <w:rsid w:val="009C739B"/>
    <w:rsid w:val="009C7DF1"/>
    <w:rsid w:val="009D129C"/>
    <w:rsid w:val="009D4134"/>
    <w:rsid w:val="009D5610"/>
    <w:rsid w:val="009D5FBA"/>
    <w:rsid w:val="009D693B"/>
    <w:rsid w:val="009E265C"/>
    <w:rsid w:val="009F12DF"/>
    <w:rsid w:val="009F1949"/>
    <w:rsid w:val="009F36DC"/>
    <w:rsid w:val="009F3889"/>
    <w:rsid w:val="00A003DC"/>
    <w:rsid w:val="00A1247E"/>
    <w:rsid w:val="00A13736"/>
    <w:rsid w:val="00A1384B"/>
    <w:rsid w:val="00A15D02"/>
    <w:rsid w:val="00A32B16"/>
    <w:rsid w:val="00A3718B"/>
    <w:rsid w:val="00A37A85"/>
    <w:rsid w:val="00A47C85"/>
    <w:rsid w:val="00A558A6"/>
    <w:rsid w:val="00A606C4"/>
    <w:rsid w:val="00A635D5"/>
    <w:rsid w:val="00A7449C"/>
    <w:rsid w:val="00A74DDF"/>
    <w:rsid w:val="00A8244D"/>
    <w:rsid w:val="00A82AED"/>
    <w:rsid w:val="00A86E89"/>
    <w:rsid w:val="00AA082D"/>
    <w:rsid w:val="00AA3E70"/>
    <w:rsid w:val="00AA40BE"/>
    <w:rsid w:val="00AA493B"/>
    <w:rsid w:val="00AA7B95"/>
    <w:rsid w:val="00AB2E4E"/>
    <w:rsid w:val="00AB322B"/>
    <w:rsid w:val="00AC3323"/>
    <w:rsid w:val="00AC6387"/>
    <w:rsid w:val="00AC7B02"/>
    <w:rsid w:val="00AD5B6C"/>
    <w:rsid w:val="00AE05D7"/>
    <w:rsid w:val="00AE2681"/>
    <w:rsid w:val="00AF01FE"/>
    <w:rsid w:val="00B00A29"/>
    <w:rsid w:val="00B10A05"/>
    <w:rsid w:val="00B13548"/>
    <w:rsid w:val="00B22DD5"/>
    <w:rsid w:val="00B26B78"/>
    <w:rsid w:val="00B27C23"/>
    <w:rsid w:val="00B31835"/>
    <w:rsid w:val="00B34D42"/>
    <w:rsid w:val="00B4214C"/>
    <w:rsid w:val="00B45DBC"/>
    <w:rsid w:val="00B66471"/>
    <w:rsid w:val="00B67A67"/>
    <w:rsid w:val="00B7323D"/>
    <w:rsid w:val="00B82285"/>
    <w:rsid w:val="00B84525"/>
    <w:rsid w:val="00B87445"/>
    <w:rsid w:val="00B9241E"/>
    <w:rsid w:val="00B95A9C"/>
    <w:rsid w:val="00B96A0B"/>
    <w:rsid w:val="00BA7772"/>
    <w:rsid w:val="00BA7A5E"/>
    <w:rsid w:val="00BB00BA"/>
    <w:rsid w:val="00BB53ED"/>
    <w:rsid w:val="00BB7D36"/>
    <w:rsid w:val="00BD5C32"/>
    <w:rsid w:val="00BE0EC9"/>
    <w:rsid w:val="00BE5DE4"/>
    <w:rsid w:val="00BF222F"/>
    <w:rsid w:val="00BF4AEF"/>
    <w:rsid w:val="00BF5611"/>
    <w:rsid w:val="00C07ED4"/>
    <w:rsid w:val="00C11C3A"/>
    <w:rsid w:val="00C16F8C"/>
    <w:rsid w:val="00C246BC"/>
    <w:rsid w:val="00C24928"/>
    <w:rsid w:val="00C32BBC"/>
    <w:rsid w:val="00C428D3"/>
    <w:rsid w:val="00C5186A"/>
    <w:rsid w:val="00C57848"/>
    <w:rsid w:val="00C66E85"/>
    <w:rsid w:val="00C75E89"/>
    <w:rsid w:val="00C7739A"/>
    <w:rsid w:val="00C8243C"/>
    <w:rsid w:val="00C91185"/>
    <w:rsid w:val="00CB3BD0"/>
    <w:rsid w:val="00CB5449"/>
    <w:rsid w:val="00CD2060"/>
    <w:rsid w:val="00CD2335"/>
    <w:rsid w:val="00CD4E10"/>
    <w:rsid w:val="00CD6983"/>
    <w:rsid w:val="00CE34EF"/>
    <w:rsid w:val="00CF4FD1"/>
    <w:rsid w:val="00CF7E3C"/>
    <w:rsid w:val="00D00A32"/>
    <w:rsid w:val="00D01F96"/>
    <w:rsid w:val="00D0305B"/>
    <w:rsid w:val="00D05423"/>
    <w:rsid w:val="00D06BEA"/>
    <w:rsid w:val="00D11568"/>
    <w:rsid w:val="00D12CF7"/>
    <w:rsid w:val="00D14A90"/>
    <w:rsid w:val="00D34C5C"/>
    <w:rsid w:val="00D35279"/>
    <w:rsid w:val="00D378E5"/>
    <w:rsid w:val="00D45446"/>
    <w:rsid w:val="00D46F0F"/>
    <w:rsid w:val="00D6293D"/>
    <w:rsid w:val="00D67BEB"/>
    <w:rsid w:val="00D74E88"/>
    <w:rsid w:val="00D80D97"/>
    <w:rsid w:val="00D856F8"/>
    <w:rsid w:val="00D8686B"/>
    <w:rsid w:val="00D87D0B"/>
    <w:rsid w:val="00D92A7D"/>
    <w:rsid w:val="00D976EB"/>
    <w:rsid w:val="00DA5860"/>
    <w:rsid w:val="00DA5C46"/>
    <w:rsid w:val="00DA6725"/>
    <w:rsid w:val="00DB2031"/>
    <w:rsid w:val="00DB4FF3"/>
    <w:rsid w:val="00DB7669"/>
    <w:rsid w:val="00DC0C3C"/>
    <w:rsid w:val="00DC5213"/>
    <w:rsid w:val="00DC6DC0"/>
    <w:rsid w:val="00DD1120"/>
    <w:rsid w:val="00DD53FB"/>
    <w:rsid w:val="00DE0CBA"/>
    <w:rsid w:val="00DE7F7D"/>
    <w:rsid w:val="00DF210F"/>
    <w:rsid w:val="00DF4326"/>
    <w:rsid w:val="00DF7FDF"/>
    <w:rsid w:val="00E06190"/>
    <w:rsid w:val="00E0720D"/>
    <w:rsid w:val="00E118B5"/>
    <w:rsid w:val="00E12A55"/>
    <w:rsid w:val="00E27EE2"/>
    <w:rsid w:val="00E33528"/>
    <w:rsid w:val="00E423FE"/>
    <w:rsid w:val="00E448FD"/>
    <w:rsid w:val="00E45172"/>
    <w:rsid w:val="00E46379"/>
    <w:rsid w:val="00E561C3"/>
    <w:rsid w:val="00E73190"/>
    <w:rsid w:val="00E73E48"/>
    <w:rsid w:val="00E905C0"/>
    <w:rsid w:val="00E90D68"/>
    <w:rsid w:val="00EA160E"/>
    <w:rsid w:val="00EC10A6"/>
    <w:rsid w:val="00EC384C"/>
    <w:rsid w:val="00EC7FEE"/>
    <w:rsid w:val="00ED252F"/>
    <w:rsid w:val="00ED3826"/>
    <w:rsid w:val="00ED4ADE"/>
    <w:rsid w:val="00ED4D44"/>
    <w:rsid w:val="00F010AF"/>
    <w:rsid w:val="00F130FC"/>
    <w:rsid w:val="00F13DEF"/>
    <w:rsid w:val="00F15FD1"/>
    <w:rsid w:val="00F22A34"/>
    <w:rsid w:val="00F32CA5"/>
    <w:rsid w:val="00F347C9"/>
    <w:rsid w:val="00F349A7"/>
    <w:rsid w:val="00F37146"/>
    <w:rsid w:val="00F41179"/>
    <w:rsid w:val="00F47171"/>
    <w:rsid w:val="00F50413"/>
    <w:rsid w:val="00F5270C"/>
    <w:rsid w:val="00F52D6D"/>
    <w:rsid w:val="00F560BC"/>
    <w:rsid w:val="00F56F57"/>
    <w:rsid w:val="00F57009"/>
    <w:rsid w:val="00F634B5"/>
    <w:rsid w:val="00F718FA"/>
    <w:rsid w:val="00F736FC"/>
    <w:rsid w:val="00F7411E"/>
    <w:rsid w:val="00F776E6"/>
    <w:rsid w:val="00F805F8"/>
    <w:rsid w:val="00F81BDD"/>
    <w:rsid w:val="00F825B7"/>
    <w:rsid w:val="00F8310E"/>
    <w:rsid w:val="00F83219"/>
    <w:rsid w:val="00F84AF3"/>
    <w:rsid w:val="00F87F46"/>
    <w:rsid w:val="00F915A1"/>
    <w:rsid w:val="00F932E1"/>
    <w:rsid w:val="00F93D7D"/>
    <w:rsid w:val="00F95408"/>
    <w:rsid w:val="00FA5B68"/>
    <w:rsid w:val="00FA7216"/>
    <w:rsid w:val="00FB7F24"/>
    <w:rsid w:val="00FC1259"/>
    <w:rsid w:val="00FC3118"/>
    <w:rsid w:val="00FC7F1F"/>
    <w:rsid w:val="00FD5E93"/>
    <w:rsid w:val="00FE0011"/>
    <w:rsid w:val="00FE2C24"/>
    <w:rsid w:val="00FF14B9"/>
    <w:rsid w:val="00FF2F59"/>
    <w:rsid w:val="00FF3337"/>
    <w:rsid w:val="76222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87667F"/>
  <w15:docId w15:val="{DF1B257A-B253-4A46-8200-004C35D9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4BE"/>
    <w:pPr>
      <w:keepNext/>
      <w:keepLines/>
      <w:numPr>
        <w:numId w:val="15"/>
      </w:numPr>
      <w:spacing w:before="480" w:after="0"/>
      <w:outlineLvl w:val="0"/>
    </w:pPr>
    <w:rPr>
      <w:rFonts w:eastAsiaTheme="majorEastAsia"/>
      <w:b/>
      <w:bCs/>
      <w:color w:val="365F91" w:themeColor="accent1" w:themeShade="BF"/>
      <w:sz w:val="36"/>
      <w:szCs w:val="36"/>
    </w:rPr>
  </w:style>
  <w:style w:type="paragraph" w:styleId="Heading2">
    <w:name w:val="heading 2"/>
    <w:basedOn w:val="Normal"/>
    <w:next w:val="Normal"/>
    <w:link w:val="Heading2Char"/>
    <w:uiPriority w:val="9"/>
    <w:semiHidden/>
    <w:unhideWhenUsed/>
    <w:qFormat/>
    <w:rsid w:val="00987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7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p1,Bullets,List Paragraph nowy,References,Numbered List Paragraph,Bullet List,FooterText,List Paragraph1,Colorful List Accent 1,numbered,Paragraphe de liste1,列出段落,列出段落1,List Paragraph2"/>
    <w:basedOn w:val="Normal"/>
    <w:link w:val="ListParagraphChar"/>
    <w:uiPriority w:val="34"/>
    <w:qFormat/>
    <w:rsid w:val="0002157C"/>
    <w:pPr>
      <w:ind w:left="720"/>
      <w:contextualSpacing/>
    </w:pPr>
  </w:style>
  <w:style w:type="paragraph" w:customStyle="1" w:styleId="Default">
    <w:name w:val="Default"/>
    <w:rsid w:val="00425A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Header">
    <w:name w:val="header"/>
    <w:basedOn w:val="Normal"/>
    <w:link w:val="HeaderChar"/>
    <w:uiPriority w:val="99"/>
    <w:unhideWhenUsed/>
    <w:rsid w:val="007E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E9"/>
  </w:style>
  <w:style w:type="paragraph" w:styleId="Footer">
    <w:name w:val="footer"/>
    <w:basedOn w:val="Normal"/>
    <w:link w:val="FooterChar"/>
    <w:uiPriority w:val="99"/>
    <w:unhideWhenUsed/>
    <w:rsid w:val="007E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E9"/>
  </w:style>
  <w:style w:type="paragraph" w:styleId="BalloonText">
    <w:name w:val="Balloon Text"/>
    <w:basedOn w:val="Normal"/>
    <w:link w:val="BalloonTextChar"/>
    <w:uiPriority w:val="99"/>
    <w:semiHidden/>
    <w:unhideWhenUsed/>
    <w:rsid w:val="007E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E9"/>
    <w:rPr>
      <w:rFonts w:ascii="Tahoma" w:hAnsi="Tahoma" w:cs="Tahoma"/>
      <w:sz w:val="16"/>
      <w:szCs w:val="16"/>
    </w:rPr>
  </w:style>
  <w:style w:type="character" w:customStyle="1" w:styleId="Heading1Char">
    <w:name w:val="Heading 1 Char"/>
    <w:basedOn w:val="DefaultParagraphFont"/>
    <w:link w:val="Heading1"/>
    <w:uiPriority w:val="9"/>
    <w:rsid w:val="009924BE"/>
    <w:rPr>
      <w:rFonts w:eastAsiaTheme="majorEastAsia"/>
      <w:b/>
      <w:bCs/>
      <w:color w:val="365F91" w:themeColor="accent1" w:themeShade="BF"/>
      <w:sz w:val="36"/>
      <w:szCs w:val="36"/>
    </w:rPr>
  </w:style>
  <w:style w:type="paragraph" w:styleId="Title">
    <w:name w:val="Title"/>
    <w:basedOn w:val="ListParagraph"/>
    <w:next w:val="Normal"/>
    <w:link w:val="TitleChar"/>
    <w:uiPriority w:val="10"/>
    <w:qFormat/>
    <w:rsid w:val="00200CC8"/>
    <w:pPr>
      <w:numPr>
        <w:numId w:val="3"/>
      </w:numPr>
    </w:pPr>
    <w:rPr>
      <w:b/>
      <w:bCs/>
      <w:color w:val="17365D" w:themeColor="text2" w:themeShade="BF"/>
      <w:sz w:val="36"/>
      <w:szCs w:val="36"/>
    </w:rPr>
  </w:style>
  <w:style w:type="character" w:customStyle="1" w:styleId="TitleChar">
    <w:name w:val="Title Char"/>
    <w:basedOn w:val="DefaultParagraphFont"/>
    <w:link w:val="Title"/>
    <w:uiPriority w:val="10"/>
    <w:rsid w:val="00200CC8"/>
    <w:rPr>
      <w:b/>
      <w:bCs/>
      <w:color w:val="17365D" w:themeColor="text2" w:themeShade="BF"/>
      <w:sz w:val="36"/>
      <w:szCs w:val="36"/>
    </w:rPr>
  </w:style>
  <w:style w:type="character" w:customStyle="1" w:styleId="Heading2Char">
    <w:name w:val="Heading 2 Char"/>
    <w:basedOn w:val="DefaultParagraphFont"/>
    <w:link w:val="Heading2"/>
    <w:uiPriority w:val="9"/>
    <w:semiHidden/>
    <w:rsid w:val="009879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E7843"/>
    <w:pPr>
      <w:tabs>
        <w:tab w:val="left" w:pos="630"/>
        <w:tab w:val="right" w:leader="dot" w:pos="9350"/>
      </w:tabs>
      <w:spacing w:before="120" w:after="120"/>
    </w:pPr>
    <w:rPr>
      <w:b/>
      <w:bCs/>
      <w:caps/>
      <w:sz w:val="20"/>
      <w:szCs w:val="20"/>
    </w:rPr>
  </w:style>
  <w:style w:type="character" w:customStyle="1" w:styleId="Heading3Char">
    <w:name w:val="Heading 3 Char"/>
    <w:basedOn w:val="DefaultParagraphFont"/>
    <w:link w:val="Heading3"/>
    <w:uiPriority w:val="9"/>
    <w:semiHidden/>
    <w:rsid w:val="00987994"/>
    <w:rPr>
      <w:rFonts w:asciiTheme="majorHAnsi" w:eastAsiaTheme="majorEastAsia" w:hAnsiTheme="majorHAnsi" w:cstheme="majorBidi"/>
      <w:b/>
      <w:bCs/>
      <w:color w:val="4F81BD" w:themeColor="accent1"/>
    </w:rPr>
  </w:style>
  <w:style w:type="character" w:customStyle="1" w:styleId="ListParagraphChar">
    <w:name w:val="List Paragraph Char"/>
    <w:aliases w:val="List Paragraph (numbered (a)) Char,Lapis Bulleted List Char,lp1 Char,Bullets Char,List Paragraph nowy Char,References Char,Numbered List Paragraph Char,Bullet List Char,FooterText Char,List Paragraph1 Char,Colorful List Accent 1 Char"/>
    <w:link w:val="ListParagraph"/>
    <w:uiPriority w:val="34"/>
    <w:qFormat/>
    <w:locked/>
    <w:rsid w:val="00F8310E"/>
  </w:style>
  <w:style w:type="table" w:styleId="TableGrid">
    <w:name w:val="Table Grid"/>
    <w:basedOn w:val="TableNormal"/>
    <w:uiPriority w:val="59"/>
    <w:rsid w:val="0000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10F"/>
    <w:rPr>
      <w:sz w:val="16"/>
      <w:szCs w:val="16"/>
    </w:rPr>
  </w:style>
  <w:style w:type="paragraph" w:styleId="CommentText">
    <w:name w:val="annotation text"/>
    <w:basedOn w:val="Normal"/>
    <w:link w:val="CommentTextChar"/>
    <w:uiPriority w:val="99"/>
    <w:unhideWhenUsed/>
    <w:rsid w:val="00DF210F"/>
    <w:pPr>
      <w:spacing w:line="240" w:lineRule="auto"/>
    </w:pPr>
    <w:rPr>
      <w:sz w:val="20"/>
      <w:szCs w:val="20"/>
    </w:rPr>
  </w:style>
  <w:style w:type="character" w:customStyle="1" w:styleId="CommentTextChar">
    <w:name w:val="Comment Text Char"/>
    <w:basedOn w:val="DefaultParagraphFont"/>
    <w:link w:val="CommentText"/>
    <w:uiPriority w:val="99"/>
    <w:rsid w:val="00DF210F"/>
    <w:rPr>
      <w:sz w:val="20"/>
      <w:szCs w:val="20"/>
    </w:rPr>
  </w:style>
  <w:style w:type="paragraph" w:styleId="CommentSubject">
    <w:name w:val="annotation subject"/>
    <w:basedOn w:val="CommentText"/>
    <w:next w:val="CommentText"/>
    <w:link w:val="CommentSubjectChar"/>
    <w:uiPriority w:val="99"/>
    <w:semiHidden/>
    <w:unhideWhenUsed/>
    <w:rsid w:val="00DF210F"/>
    <w:rPr>
      <w:b/>
      <w:bCs/>
    </w:rPr>
  </w:style>
  <w:style w:type="character" w:customStyle="1" w:styleId="CommentSubjectChar">
    <w:name w:val="Comment Subject Char"/>
    <w:basedOn w:val="CommentTextChar"/>
    <w:link w:val="CommentSubject"/>
    <w:uiPriority w:val="99"/>
    <w:semiHidden/>
    <w:rsid w:val="00DF210F"/>
    <w:rPr>
      <w:b/>
      <w:bCs/>
      <w:sz w:val="20"/>
      <w:szCs w:val="20"/>
    </w:rPr>
  </w:style>
  <w:style w:type="paragraph" w:styleId="FootnoteText">
    <w:name w:val="footnote text"/>
    <w:aliases w:val="FOOTNOTES,fn,single space,Footnote Text Char1,Footnote Text Char Char Char Char,Footnote Text Char Char Char,Footnote Text Char Char,testo pié di pagina,testo pié di pagina Char,Footnote,ALTS FOOTNOTE,ft,ADB,footnote text,Geneva 9,Boston 1"/>
    <w:basedOn w:val="Normal"/>
    <w:link w:val="FootnoteTextChar"/>
    <w:qFormat/>
    <w:rsid w:val="00CB3BD0"/>
    <w:pPr>
      <w:spacing w:after="0" w:line="240" w:lineRule="auto"/>
    </w:pPr>
    <w:rPr>
      <w:rFonts w:ascii="Times New Roman" w:eastAsia="MS Mincho" w:hAnsi="Times New Roman" w:cs="Angsana New"/>
      <w:sz w:val="24"/>
      <w:szCs w:val="24"/>
      <w:lang w:eastAsia="ja-JP"/>
    </w:rPr>
  </w:style>
  <w:style w:type="character" w:customStyle="1" w:styleId="FootnoteTextChar">
    <w:name w:val="Footnote Text Char"/>
    <w:aliases w:val="FOOTNOTES Char,fn Char,single space Char,Footnote Text Char1 Char,Footnote Text Char Char Char Char Char,Footnote Text Char Char Char Char1,Footnote Text Char Char Char1,testo pié di pagina Char1,testo pié di pagina Char Char,ft Char"/>
    <w:basedOn w:val="DefaultParagraphFont"/>
    <w:link w:val="FootnoteText"/>
    <w:rsid w:val="00CB3BD0"/>
    <w:rPr>
      <w:rFonts w:ascii="Times New Roman" w:eastAsia="MS Mincho" w:hAnsi="Times New Roman" w:cs="Angsana New"/>
      <w:sz w:val="24"/>
      <w:szCs w:val="24"/>
      <w:lang w:eastAsia="ja-JP"/>
    </w:rPr>
  </w:style>
  <w:style w:type="character" w:styleId="FootnoteReference">
    <w:name w:val="footnote reference"/>
    <w:aliases w:val="4_G,Footnote number,ftref,16 Point,Superscript 6 Point,Ref,de nota al pie,note bp,Footnotes refss,Footnote Ref,Footnote Refernece, BVI fnr,BVI fnr,Знак сноски-FN,Знак сноски 1,Footnote Reference Number,Odwołanie przypisu, Car1,Car1,fr"/>
    <w:link w:val="Char2"/>
    <w:uiPriority w:val="99"/>
    <w:qFormat/>
    <w:rsid w:val="00CB3BD0"/>
    <w:rPr>
      <w:vertAlign w:val="superscript"/>
    </w:rPr>
  </w:style>
  <w:style w:type="table" w:styleId="LightList-Accent1">
    <w:name w:val="Light List Accent 1"/>
    <w:basedOn w:val="TableNormal"/>
    <w:uiPriority w:val="61"/>
    <w:rsid w:val="008955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24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next w:val="Normal"/>
    <w:link w:val="SubtitleChar"/>
    <w:uiPriority w:val="11"/>
    <w:qFormat/>
    <w:rsid w:val="00FF3337"/>
    <w:rPr>
      <w:color w:val="548DD4" w:themeColor="text2" w:themeTint="99"/>
      <w:sz w:val="28"/>
      <w:szCs w:val="28"/>
    </w:rPr>
  </w:style>
  <w:style w:type="character" w:customStyle="1" w:styleId="SubtitleChar">
    <w:name w:val="Subtitle Char"/>
    <w:basedOn w:val="DefaultParagraphFont"/>
    <w:link w:val="Subtitle"/>
    <w:uiPriority w:val="11"/>
    <w:rsid w:val="00FF3337"/>
    <w:rPr>
      <w:color w:val="548DD4" w:themeColor="text2" w:themeTint="99"/>
      <w:sz w:val="28"/>
      <w:szCs w:val="28"/>
    </w:rPr>
  </w:style>
  <w:style w:type="paragraph" w:styleId="TOC2">
    <w:name w:val="toc 2"/>
    <w:basedOn w:val="Normal"/>
    <w:next w:val="Normal"/>
    <w:autoRedefine/>
    <w:uiPriority w:val="39"/>
    <w:unhideWhenUsed/>
    <w:rsid w:val="00954CC2"/>
    <w:pPr>
      <w:spacing w:after="0"/>
      <w:ind w:left="220"/>
    </w:pPr>
    <w:rPr>
      <w:smallCaps/>
      <w:sz w:val="20"/>
      <w:szCs w:val="20"/>
    </w:rPr>
  </w:style>
  <w:style w:type="paragraph" w:styleId="TOC3">
    <w:name w:val="toc 3"/>
    <w:basedOn w:val="Normal"/>
    <w:next w:val="Normal"/>
    <w:autoRedefine/>
    <w:uiPriority w:val="39"/>
    <w:unhideWhenUsed/>
    <w:rsid w:val="009924BE"/>
    <w:pPr>
      <w:spacing w:after="0"/>
      <w:ind w:left="440"/>
    </w:pPr>
    <w:rPr>
      <w:i/>
      <w:iCs/>
      <w:sz w:val="20"/>
      <w:szCs w:val="20"/>
    </w:rPr>
  </w:style>
  <w:style w:type="paragraph" w:styleId="TOC4">
    <w:name w:val="toc 4"/>
    <w:basedOn w:val="Normal"/>
    <w:next w:val="Normal"/>
    <w:autoRedefine/>
    <w:uiPriority w:val="39"/>
    <w:unhideWhenUsed/>
    <w:rsid w:val="009924BE"/>
    <w:pPr>
      <w:spacing w:after="0"/>
      <w:ind w:left="660"/>
    </w:pPr>
    <w:rPr>
      <w:sz w:val="18"/>
      <w:szCs w:val="18"/>
    </w:rPr>
  </w:style>
  <w:style w:type="paragraph" w:styleId="TOC5">
    <w:name w:val="toc 5"/>
    <w:basedOn w:val="Normal"/>
    <w:next w:val="Normal"/>
    <w:autoRedefine/>
    <w:uiPriority w:val="39"/>
    <w:unhideWhenUsed/>
    <w:rsid w:val="009924BE"/>
    <w:pPr>
      <w:spacing w:after="0"/>
      <w:ind w:left="880"/>
    </w:pPr>
    <w:rPr>
      <w:sz w:val="18"/>
      <w:szCs w:val="18"/>
    </w:rPr>
  </w:style>
  <w:style w:type="paragraph" w:styleId="TOC6">
    <w:name w:val="toc 6"/>
    <w:basedOn w:val="Normal"/>
    <w:next w:val="Normal"/>
    <w:autoRedefine/>
    <w:uiPriority w:val="39"/>
    <w:unhideWhenUsed/>
    <w:rsid w:val="009924BE"/>
    <w:pPr>
      <w:spacing w:after="0"/>
      <w:ind w:left="1100"/>
    </w:pPr>
    <w:rPr>
      <w:sz w:val="18"/>
      <w:szCs w:val="18"/>
    </w:rPr>
  </w:style>
  <w:style w:type="paragraph" w:styleId="TOC7">
    <w:name w:val="toc 7"/>
    <w:basedOn w:val="Normal"/>
    <w:next w:val="Normal"/>
    <w:autoRedefine/>
    <w:uiPriority w:val="39"/>
    <w:unhideWhenUsed/>
    <w:rsid w:val="009924BE"/>
    <w:pPr>
      <w:spacing w:after="0"/>
      <w:ind w:left="1320"/>
    </w:pPr>
    <w:rPr>
      <w:sz w:val="18"/>
      <w:szCs w:val="18"/>
    </w:rPr>
  </w:style>
  <w:style w:type="paragraph" w:styleId="TOC8">
    <w:name w:val="toc 8"/>
    <w:basedOn w:val="Normal"/>
    <w:next w:val="Normal"/>
    <w:autoRedefine/>
    <w:uiPriority w:val="39"/>
    <w:unhideWhenUsed/>
    <w:rsid w:val="009924BE"/>
    <w:pPr>
      <w:spacing w:after="0"/>
      <w:ind w:left="1540"/>
    </w:pPr>
    <w:rPr>
      <w:sz w:val="18"/>
      <w:szCs w:val="18"/>
    </w:rPr>
  </w:style>
  <w:style w:type="paragraph" w:styleId="TOC9">
    <w:name w:val="toc 9"/>
    <w:basedOn w:val="Normal"/>
    <w:next w:val="Normal"/>
    <w:autoRedefine/>
    <w:uiPriority w:val="39"/>
    <w:unhideWhenUsed/>
    <w:rsid w:val="009924BE"/>
    <w:pPr>
      <w:spacing w:after="0"/>
      <w:ind w:left="1760"/>
    </w:pPr>
    <w:rPr>
      <w:sz w:val="18"/>
      <w:szCs w:val="18"/>
    </w:rPr>
  </w:style>
  <w:style w:type="character" w:styleId="Hyperlink">
    <w:name w:val="Hyperlink"/>
    <w:basedOn w:val="DefaultParagraphFont"/>
    <w:uiPriority w:val="99"/>
    <w:unhideWhenUsed/>
    <w:rsid w:val="009924BE"/>
    <w:rPr>
      <w:color w:val="0000FF" w:themeColor="hyperlink"/>
      <w:u w:val="single"/>
    </w:rPr>
  </w:style>
  <w:style w:type="paragraph" w:customStyle="1" w:styleId="Char2">
    <w:name w:val="Char2"/>
    <w:basedOn w:val="Normal"/>
    <w:link w:val="FootnoteReference"/>
    <w:rsid w:val="00C24928"/>
    <w:pPr>
      <w:spacing w:after="160" w:line="240" w:lineRule="exact"/>
    </w:pPr>
    <w:rPr>
      <w:vertAlign w:val="superscript"/>
    </w:rPr>
  </w:style>
  <w:style w:type="paragraph" w:styleId="NormalWeb">
    <w:name w:val="Normal (Web)"/>
    <w:basedOn w:val="Normal"/>
    <w:uiPriority w:val="99"/>
    <w:unhideWhenUsed/>
    <w:rsid w:val="008C5F58"/>
    <w:pPr>
      <w:spacing w:after="0" w:line="240" w:lineRule="auto"/>
    </w:pPr>
    <w:rPr>
      <w:rFonts w:ascii="Calibri" w:hAnsi="Calibri" w:cs="Calibri"/>
    </w:rPr>
  </w:style>
  <w:style w:type="paragraph" w:styleId="BodyText">
    <w:name w:val="Body Text"/>
    <w:basedOn w:val="Normal"/>
    <w:link w:val="BodyTextChar"/>
    <w:semiHidden/>
    <w:rsid w:val="00612A30"/>
    <w:pPr>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semiHidden/>
    <w:rsid w:val="00612A30"/>
    <w:rPr>
      <w:rFonts w:ascii="Univers" w:eastAsia="Times New Roman" w:hAnsi="Univers" w:cs="Times New Roman"/>
      <w:szCs w:val="20"/>
    </w:rPr>
  </w:style>
  <w:style w:type="character" w:styleId="UnresolvedMention">
    <w:name w:val="Unresolved Mention"/>
    <w:basedOn w:val="DefaultParagraphFont"/>
    <w:uiPriority w:val="99"/>
    <w:semiHidden/>
    <w:unhideWhenUsed/>
    <w:rsid w:val="00DB4FF3"/>
    <w:rPr>
      <w:color w:val="605E5C"/>
      <w:shd w:val="clear" w:color="auto" w:fill="E1DFDD"/>
    </w:rPr>
  </w:style>
  <w:style w:type="paragraph" w:styleId="Revision">
    <w:name w:val="Revision"/>
    <w:hidden/>
    <w:uiPriority w:val="99"/>
    <w:semiHidden/>
    <w:rsid w:val="009F3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635">
      <w:bodyDiv w:val="1"/>
      <w:marLeft w:val="0"/>
      <w:marRight w:val="0"/>
      <w:marTop w:val="0"/>
      <w:marBottom w:val="0"/>
      <w:divBdr>
        <w:top w:val="none" w:sz="0" w:space="0" w:color="auto"/>
        <w:left w:val="none" w:sz="0" w:space="0" w:color="auto"/>
        <w:bottom w:val="none" w:sz="0" w:space="0" w:color="auto"/>
        <w:right w:val="none" w:sz="0" w:space="0" w:color="auto"/>
      </w:divBdr>
    </w:div>
    <w:div w:id="401753833">
      <w:bodyDiv w:val="1"/>
      <w:marLeft w:val="0"/>
      <w:marRight w:val="0"/>
      <w:marTop w:val="0"/>
      <w:marBottom w:val="0"/>
      <w:divBdr>
        <w:top w:val="none" w:sz="0" w:space="0" w:color="auto"/>
        <w:left w:val="none" w:sz="0" w:space="0" w:color="auto"/>
        <w:bottom w:val="none" w:sz="0" w:space="0" w:color="auto"/>
        <w:right w:val="none" w:sz="0" w:space="0" w:color="auto"/>
      </w:divBdr>
    </w:div>
    <w:div w:id="471099308">
      <w:bodyDiv w:val="1"/>
      <w:marLeft w:val="0"/>
      <w:marRight w:val="0"/>
      <w:marTop w:val="0"/>
      <w:marBottom w:val="0"/>
      <w:divBdr>
        <w:top w:val="none" w:sz="0" w:space="0" w:color="auto"/>
        <w:left w:val="none" w:sz="0" w:space="0" w:color="auto"/>
        <w:bottom w:val="none" w:sz="0" w:space="0" w:color="auto"/>
        <w:right w:val="none" w:sz="0" w:space="0" w:color="auto"/>
      </w:divBdr>
    </w:div>
    <w:div w:id="548224459">
      <w:bodyDiv w:val="1"/>
      <w:marLeft w:val="0"/>
      <w:marRight w:val="0"/>
      <w:marTop w:val="0"/>
      <w:marBottom w:val="0"/>
      <w:divBdr>
        <w:top w:val="none" w:sz="0" w:space="0" w:color="auto"/>
        <w:left w:val="none" w:sz="0" w:space="0" w:color="auto"/>
        <w:bottom w:val="none" w:sz="0" w:space="0" w:color="auto"/>
        <w:right w:val="none" w:sz="0" w:space="0" w:color="auto"/>
      </w:divBdr>
    </w:div>
    <w:div w:id="987054079">
      <w:bodyDiv w:val="1"/>
      <w:marLeft w:val="0"/>
      <w:marRight w:val="0"/>
      <w:marTop w:val="0"/>
      <w:marBottom w:val="0"/>
      <w:divBdr>
        <w:top w:val="none" w:sz="0" w:space="0" w:color="auto"/>
        <w:left w:val="none" w:sz="0" w:space="0" w:color="auto"/>
        <w:bottom w:val="none" w:sz="0" w:space="0" w:color="auto"/>
        <w:right w:val="none" w:sz="0" w:space="0" w:color="auto"/>
      </w:divBdr>
    </w:div>
    <w:div w:id="1025593351">
      <w:bodyDiv w:val="1"/>
      <w:marLeft w:val="0"/>
      <w:marRight w:val="0"/>
      <w:marTop w:val="0"/>
      <w:marBottom w:val="0"/>
      <w:divBdr>
        <w:top w:val="none" w:sz="0" w:space="0" w:color="auto"/>
        <w:left w:val="none" w:sz="0" w:space="0" w:color="auto"/>
        <w:bottom w:val="none" w:sz="0" w:space="0" w:color="auto"/>
        <w:right w:val="none" w:sz="0" w:space="0" w:color="auto"/>
      </w:divBdr>
    </w:div>
    <w:div w:id="1037973955">
      <w:bodyDiv w:val="1"/>
      <w:marLeft w:val="0"/>
      <w:marRight w:val="0"/>
      <w:marTop w:val="0"/>
      <w:marBottom w:val="0"/>
      <w:divBdr>
        <w:top w:val="none" w:sz="0" w:space="0" w:color="auto"/>
        <w:left w:val="none" w:sz="0" w:space="0" w:color="auto"/>
        <w:bottom w:val="none" w:sz="0" w:space="0" w:color="auto"/>
        <w:right w:val="none" w:sz="0" w:space="0" w:color="auto"/>
      </w:divBdr>
    </w:div>
    <w:div w:id="1365015135">
      <w:bodyDiv w:val="1"/>
      <w:marLeft w:val="0"/>
      <w:marRight w:val="0"/>
      <w:marTop w:val="0"/>
      <w:marBottom w:val="0"/>
      <w:divBdr>
        <w:top w:val="none" w:sz="0" w:space="0" w:color="auto"/>
        <w:left w:val="none" w:sz="0" w:space="0" w:color="auto"/>
        <w:bottom w:val="none" w:sz="0" w:space="0" w:color="auto"/>
        <w:right w:val="none" w:sz="0" w:space="0" w:color="auto"/>
      </w:divBdr>
    </w:div>
    <w:div w:id="1802646371">
      <w:bodyDiv w:val="1"/>
      <w:marLeft w:val="0"/>
      <w:marRight w:val="0"/>
      <w:marTop w:val="0"/>
      <w:marBottom w:val="0"/>
      <w:divBdr>
        <w:top w:val="none" w:sz="0" w:space="0" w:color="auto"/>
        <w:left w:val="none" w:sz="0" w:space="0" w:color="auto"/>
        <w:bottom w:val="none" w:sz="0" w:space="0" w:color="auto"/>
        <w:right w:val="none" w:sz="0" w:space="0" w:color="auto"/>
      </w:divBdr>
    </w:div>
    <w:div w:id="1890651605">
      <w:bodyDiv w:val="1"/>
      <w:marLeft w:val="0"/>
      <w:marRight w:val="0"/>
      <w:marTop w:val="0"/>
      <w:marBottom w:val="0"/>
      <w:divBdr>
        <w:top w:val="none" w:sz="0" w:space="0" w:color="auto"/>
        <w:left w:val="none" w:sz="0" w:space="0" w:color="auto"/>
        <w:bottom w:val="none" w:sz="0" w:space="0" w:color="auto"/>
        <w:right w:val="none" w:sz="0" w:space="0" w:color="auto"/>
      </w:divBdr>
    </w:div>
    <w:div w:id="1895655422">
      <w:bodyDiv w:val="1"/>
      <w:marLeft w:val="0"/>
      <w:marRight w:val="0"/>
      <w:marTop w:val="0"/>
      <w:marBottom w:val="0"/>
      <w:divBdr>
        <w:top w:val="none" w:sz="0" w:space="0" w:color="auto"/>
        <w:left w:val="none" w:sz="0" w:space="0" w:color="auto"/>
        <w:bottom w:val="none" w:sz="0" w:space="0" w:color="auto"/>
        <w:right w:val="none" w:sz="0" w:space="0" w:color="auto"/>
      </w:divBdr>
    </w:div>
    <w:div w:id="2007245498">
      <w:bodyDiv w:val="1"/>
      <w:marLeft w:val="0"/>
      <w:marRight w:val="0"/>
      <w:marTop w:val="0"/>
      <w:marBottom w:val="0"/>
      <w:divBdr>
        <w:top w:val="none" w:sz="0" w:space="0" w:color="auto"/>
        <w:left w:val="none" w:sz="0" w:space="0" w:color="auto"/>
        <w:bottom w:val="none" w:sz="0" w:space="0" w:color="auto"/>
        <w:right w:val="none" w:sz="0" w:space="0" w:color="auto"/>
      </w:divBdr>
    </w:div>
    <w:div w:id="20383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ea01.safelinks.protection.outlook.com/?url=http%3A%2F%2Fwww.sl.undp.org%2Fcontent%2Fsierraleone%2Fen%2Fhome%2Fpresscenter%2Farticles%2F2018%2Fa-brush-with-the-law-.html&amp;data=02%7C01%7Cwalter.neba%40undp.org%7Cf95e6faffe3e4be977f808d67c9b10dd%7Cb3e5db5e2944483799f57488ace54319%7C0%7C0%7C636833402766887159&amp;sdata=EEYYGTE8pLSu%2FJ%2FIow%2BKj3RR%2FWlMew4NOjn7y0c3E3A%3D&amp;reserved=0" TargetMode="External"/><Relationship Id="rId18" Type="http://schemas.openxmlformats.org/officeDocument/2006/relationships/hyperlink" Target="https://emea01.safelinks.protection.outlook.com/?url=https%3A%2F%2Ftwitter.com%2FUNDPSierraLeone%2Fstatus%2F1016728669195259905&amp;data=02%7C01%7Cwalter.neba%40undp.org%7Cf95e6faffe3e4be977f808d67c9b10dd%7Cb3e5db5e2944483799f57488ace54319%7C0%7C0%7C636833402766917168&amp;sdata=cjkzLs0bC%2B80J7YJf7O8RUJqzO7uF%2B1tP3%2BTyCH8D%2FI%3D&amp;reserved=0"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facebook.com/The-Judiciary-of-Sierra-Leone-315910822189629/" TargetMode="External"/><Relationship Id="rId7" Type="http://schemas.openxmlformats.org/officeDocument/2006/relationships/endnotes" Target="endnotes.xml"/><Relationship Id="rId12" Type="http://schemas.openxmlformats.org/officeDocument/2006/relationships/hyperlink" Target="https://emea01.safelinks.protection.outlook.com/?url=https%3A%2F%2Fwww.facebook.com%2FSierra-Leone-Correctional-Service-PAGE-656192434462264%2F%3Fepa%3DSEARCH_BOX&amp;data=02%7C01%7Cwalter.neba%40undp.org%7Ca214fd617146417ea91408d67bb74286%7Cb3e5db5e2944483799f57488ace54319%7C0%7C0%7C636832424350350693&amp;sdata=hjlmpjr5H7BKQI3261BgHKiC3zT7qUzhutHy1zgbkxA%3D&amp;reserved=0" TargetMode="External"/><Relationship Id="rId17" Type="http://schemas.openxmlformats.org/officeDocument/2006/relationships/hyperlink" Target="https://emea01.safelinks.protection.outlook.com/?url=https%3A%2F%2Ftwitter.com%2FUNDPSierraLeone%2Fstatus%2F1030021515734134785&amp;data=02%7C01%7Cwalter.neba%40undp.org%7Cf95e6faffe3e4be977f808d67c9b10dd%7Cb3e5db5e2944483799f57488ace54319%7C0%7C0%7C636833402766917168&amp;sdata=j0cBG1OHikIk6LENIuBAkfe%2BjGSE2P70g0hc%2Fy3wIyo%3D&amp;reserved=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witter.com/UNDP/status/1033008599134597120" TargetMode="External"/><Relationship Id="rId20" Type="http://schemas.openxmlformats.org/officeDocument/2006/relationships/hyperlink" Target="https://emea01.safelinks.protection.outlook.com/?url=https%3A%2F%2Ftwitter.com%2FUNDPAfrica%2Fstatus%2F995949369668104192&amp;data=02%7C01%7Cwalter.neba%40undp.org%7Cf95e6faffe3e4be977f808d67c9b10dd%7Cb3e5db5e2944483799f57488ace54319%7C0%7C0%7C636833402766927173&amp;sdata=vSR9SxXJ%2FuGM6Evuw8hLXOT8UHoYIivjwvzboMUmF7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mea01.safelinks.protection.outlook.com/?url=https%3A%2F%2Ftwitter.com%2FUNDPSierraLeone%2Fstatus%2F1048213727487647744&amp;data=02%7C01%7Cwalter.neba%40undp.org%7Cf95e6faffe3e4be977f808d67c9b10dd%7Cb3e5db5e2944483799f57488ace54319%7C0%7C0%7C636833402766897155&amp;sdata=IFR%2BWz%2B6vmB6Qdb9JV85hN2tcj%2F%2BXVcLYDFTBf%2FNQU0%3D&amp;reserved=0"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image" Target="media/image3.jpg"/><Relationship Id="rId19" Type="http://schemas.openxmlformats.org/officeDocument/2006/relationships/hyperlink" Target="https://emea01.safelinks.protection.outlook.com/?url=https%3A%2F%2Ftwitter.com%2FUNDPAfrica%2Fstatus%2F1009691165426356226&amp;data=02%7C01%7Cwalter.neba%40undp.org%7Cf95e6faffe3e4be977f808d67c9b10dd%7Cb3e5db5e2944483799f57488ace54319%7C0%7C0%7C636833402766927173&amp;sdata=QVufo3zJoM%2BcNVzXHNe26PWjWamx%2BAO%2Bi0fLBSMk02w%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UNDPAfrica/status/1049458784450568193"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2019-01-29T15:00:00+00:00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ATLASPDC-4-95152</_dlc_DocId>
    <_dlc_DocIdUrl xmlns="f1161f5b-24a3-4c2d-bc81-44cb9325e8ee">
      <Url>https://info.undp.org/docs/pdc/_layouts/DocIdRedir.aspx?ID=ATLASPDC-4-95152</Url>
      <Description>ATLASPDC-4-95152</Description>
    </_dlc_DocIdUrl>
    <Document_x0020_Coverage_x0020_Period_x0020_Start_x0020_Date xmlns="f1161f5b-24a3-4c2d-bc81-44cb9325e8ee" xsi:nil="true"/>
    <Document_x0020_Coverage_x0020_Period_x0020_End_x0020_Date xmlns="f1161f5b-24a3-4c2d-bc81-44cb9325e8ee">2021-11-25T05:00:00+00:00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25A5CD6-8034-4753-BBEB-F65A7C011097}">
  <ds:schemaRefs>
    <ds:schemaRef ds:uri="http://schemas.openxmlformats.org/officeDocument/2006/bibliography"/>
  </ds:schemaRefs>
</ds:datastoreItem>
</file>

<file path=customXml/itemProps2.xml><?xml version="1.0" encoding="utf-8"?>
<ds:datastoreItem xmlns:ds="http://schemas.openxmlformats.org/officeDocument/2006/customXml" ds:itemID="{963B2C1C-E936-4BC8-835C-44EEC11E2D13}"/>
</file>

<file path=customXml/itemProps3.xml><?xml version="1.0" encoding="utf-8"?>
<ds:datastoreItem xmlns:ds="http://schemas.openxmlformats.org/officeDocument/2006/customXml" ds:itemID="{183331BA-3F17-46FE-87A2-D853C4E74E61}"/>
</file>

<file path=customXml/itemProps4.xml><?xml version="1.0" encoding="utf-8"?>
<ds:datastoreItem xmlns:ds="http://schemas.openxmlformats.org/officeDocument/2006/customXml" ds:itemID="{E4DF6F7C-1810-4E66-851F-0914623CA9B5}"/>
</file>

<file path=customXml/itemProps5.xml><?xml version="1.0" encoding="utf-8"?>
<ds:datastoreItem xmlns:ds="http://schemas.openxmlformats.org/officeDocument/2006/customXml" ds:itemID="{20967D27-9433-4485-B078-4E2F0BC82499}"/>
</file>

<file path=customXml/itemProps6.xml><?xml version="1.0" encoding="utf-8"?>
<ds:datastoreItem xmlns:ds="http://schemas.openxmlformats.org/officeDocument/2006/customXml" ds:itemID="{289F628E-57C9-42DA-BA13-90F6310144F4}"/>
</file>

<file path=docProps/app.xml><?xml version="1.0" encoding="utf-8"?>
<Properties xmlns="http://schemas.openxmlformats.org/officeDocument/2006/extended-properties" xmlns:vt="http://schemas.openxmlformats.org/officeDocument/2006/docPropsVTypes">
  <Template>Normal</Template>
  <TotalTime>3</TotalTime>
  <Pages>33</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Law Annual Report</dc:title>
  <dc:subject/>
  <dc:creator>Walter Neba and Louise Aaen</dc:creator>
  <cp:keywords/>
  <dc:description/>
  <cp:lastModifiedBy>Louise Aaen</cp:lastModifiedBy>
  <cp:revision>2</cp:revision>
  <cp:lastPrinted>2018-02-13T12:58:00Z</cp:lastPrinted>
  <dcterms:created xsi:type="dcterms:W3CDTF">2019-01-23T15:44:00Z</dcterms:created>
  <dcterms:modified xsi:type="dcterms:W3CDTF">2019-01-23T15:44:00Z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acb859e7-30f9-4dd4-a3a8-5de3aa1205a2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